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F134DE4" w14:textId="77777777" w:rsidR="00030E57" w:rsidRPr="001F4EB6" w:rsidRDefault="00030E57">
      <w:pPr>
        <w:pStyle w:val="Heading2"/>
        <w:rPr>
          <w:i w:val="0"/>
          <w:iCs/>
        </w:rPr>
      </w:pPr>
      <w:r w:rsidRPr="001F4EB6">
        <w:rPr>
          <w:i w:val="0"/>
          <w:iCs/>
        </w:rPr>
        <w:t>Chapter 7: Demand Forecasting in a Supply Chain</w:t>
      </w:r>
      <w:bookmarkStart w:id="0" w:name="_GoBack"/>
      <w:bookmarkEnd w:id="0"/>
    </w:p>
    <w:p w14:paraId="129FF49B" w14:textId="3504FC53" w:rsidR="00030E57" w:rsidRPr="001F4EB6" w:rsidRDefault="00030E57">
      <w:pPr>
        <w:pStyle w:val="Heading2"/>
      </w:pPr>
      <w:r w:rsidRPr="001F4EB6">
        <w:t xml:space="preserve">Exercise Solutions: </w:t>
      </w:r>
    </w:p>
    <w:p w14:paraId="1D778A72" w14:textId="77777777" w:rsidR="00030E57" w:rsidRPr="001F4EB6" w:rsidRDefault="00030E57"/>
    <w:p w14:paraId="0E06EA5E" w14:textId="77777777" w:rsidR="00030E57" w:rsidRPr="001F4EB6" w:rsidRDefault="00030E57">
      <w:r w:rsidRPr="001F4EB6">
        <w:rPr>
          <w:b/>
        </w:rPr>
        <w:t>Problem 7-1</w:t>
      </w:r>
      <w:r w:rsidRPr="001F4EB6">
        <w:t>:</w:t>
      </w:r>
    </w:p>
    <w:p w14:paraId="3A59DF68" w14:textId="77777777" w:rsidR="00030E57" w:rsidRPr="001F4EB6" w:rsidRDefault="00030E57"/>
    <w:p w14:paraId="24DC68A8" w14:textId="042389F5" w:rsidR="00030E57" w:rsidRPr="001F4EB6" w:rsidRDefault="00030E57">
      <w:r w:rsidRPr="001F4EB6">
        <w:t xml:space="preserve">We utilize a static model with level, trend, and seasonality components to evaluate the forecasts for year 6. Initially, we deseasonalize the demand and utilize regression in estimating the trend and level components. We then estimate the seasonal factors for each period and evaluate forecasts. </w:t>
      </w:r>
      <w:r w:rsidR="003A0567">
        <w:t xml:space="preserve">Spreadsheet </w:t>
      </w:r>
      <w:r w:rsidR="003A0567" w:rsidRPr="00634C52">
        <w:rPr>
          <w:i/>
        </w:rPr>
        <w:t>Exercise</w:t>
      </w:r>
      <w:r w:rsidRPr="00634C52">
        <w:rPr>
          <w:i/>
        </w:rPr>
        <w:t xml:space="preserve"> 7-1</w:t>
      </w:r>
      <w:r w:rsidRPr="001F4EB6">
        <w:t xml:space="preserve"> provides the solution to this problem.  </w:t>
      </w:r>
    </w:p>
    <w:p w14:paraId="36A7C0A3" w14:textId="77777777" w:rsidR="00030E57" w:rsidRPr="001F4EB6" w:rsidRDefault="00030E57"/>
    <w:p w14:paraId="5C95EB41" w14:textId="77777777" w:rsidR="00030E57" w:rsidRPr="001F4EB6" w:rsidRDefault="00030E57">
      <w:r w:rsidRPr="001F4EB6">
        <w:t xml:space="preserve">The model utilized for forecasting is: </w:t>
      </w:r>
      <w:r w:rsidRPr="001F4EB6">
        <w:rPr>
          <w:position w:val="-12"/>
        </w:rPr>
        <w:object w:dxaOrig="2240" w:dyaOrig="360" w14:anchorId="1D7FE8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1.75pt;height:18.75pt" o:ole="">
            <v:imagedata r:id="rId7" o:title=""/>
          </v:shape>
          <o:OLEObject Type="Embed" ProgID="Equation.3" ShapeID="_x0000_i1025" DrawAspect="Content" ObjectID="_1569243882" r:id="rId8"/>
        </w:object>
      </w:r>
    </w:p>
    <w:p w14:paraId="7E6F05BC" w14:textId="77777777" w:rsidR="00030E57" w:rsidRPr="001F4EB6" w:rsidRDefault="00030E57"/>
    <w:p w14:paraId="043BF76F" w14:textId="77777777" w:rsidR="00030E57" w:rsidRPr="001F4EB6" w:rsidRDefault="00030E57">
      <w:r w:rsidRPr="001F4EB6">
        <w:t>The deseasonalized regression model is</w:t>
      </w:r>
      <w:r w:rsidR="003A0567">
        <w:t xml:space="preserve"> (see Cells T52 and T53 for values of deseasonalized level at period 0 and trend at period 0)</w:t>
      </w:r>
      <w:r w:rsidRPr="001F4EB6">
        <w:t>:</w:t>
      </w:r>
    </w:p>
    <w:p w14:paraId="0B9013CD" w14:textId="77777777" w:rsidR="00030E57" w:rsidRPr="001F4EB6" w:rsidRDefault="00030E57"/>
    <w:p w14:paraId="315454F9" w14:textId="77777777" w:rsidR="00030E57" w:rsidRPr="001F4EB6" w:rsidRDefault="00030E57">
      <w:r w:rsidRPr="001F4EB6">
        <w:rPr>
          <w:position w:val="-6"/>
        </w:rPr>
        <w:object w:dxaOrig="320" w:dyaOrig="440" w14:anchorId="4F06CBCA">
          <v:shape id="_x0000_i1026" type="#_x0000_t75" style="width:15.75pt;height:21.75pt" o:ole="">
            <v:imagedata r:id="rId9" o:title=""/>
          </v:shape>
          <o:OLEObject Type="Embed" ProgID="Equation.3" ShapeID="_x0000_i1026" DrawAspect="Content" ObjectID="_1569243883" r:id="rId10"/>
        </w:object>
      </w:r>
      <w:r w:rsidRPr="001F4EB6">
        <w:t xml:space="preserve"> = 5997.261 + 70.245 t</w:t>
      </w:r>
    </w:p>
    <w:p w14:paraId="0B4CA276" w14:textId="77777777" w:rsidR="00030E57" w:rsidRPr="001F4EB6" w:rsidRDefault="00030E57"/>
    <w:p w14:paraId="16013FB8" w14:textId="62702AC2" w:rsidR="00030E57" w:rsidRPr="001F4EB6" w:rsidRDefault="00030E57">
      <w:r w:rsidRPr="001F4EB6">
        <w:t xml:space="preserve">The seasonal indices for each of the </w:t>
      </w:r>
      <w:r w:rsidR="001F2C3F">
        <w:t>12</w:t>
      </w:r>
      <w:r w:rsidRPr="001F4EB6">
        <w:t xml:space="preserve"> months are</w:t>
      </w:r>
      <w:r w:rsidR="003A0567">
        <w:t xml:space="preserve"> (see Cells T59-70)</w:t>
      </w:r>
      <w:r w:rsidRPr="001F4EB6">
        <w:t>:</w:t>
      </w:r>
    </w:p>
    <w:p w14:paraId="48F627D2" w14:textId="77777777" w:rsidR="00030E57" w:rsidRPr="001F4EB6" w:rsidRDefault="00030E57"/>
    <w:tbl>
      <w:tblPr>
        <w:tblW w:w="12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0A0" w:firstRow="1" w:lastRow="0" w:firstColumn="1" w:lastColumn="0" w:noHBand="0" w:noVBand="0"/>
      </w:tblPr>
      <w:tblGrid>
        <w:gridCol w:w="668"/>
        <w:gridCol w:w="612"/>
      </w:tblGrid>
      <w:tr w:rsidR="00030E57" w:rsidRPr="001F4EB6" w14:paraId="37E3D626" w14:textId="77777777">
        <w:trPr>
          <w:trHeight w:val="255"/>
        </w:trPr>
        <w:tc>
          <w:tcPr>
            <w:tcW w:w="668" w:type="dxa"/>
            <w:noWrap/>
            <w:tcMar>
              <w:top w:w="15" w:type="dxa"/>
              <w:left w:w="15" w:type="dxa"/>
              <w:bottom w:w="0" w:type="dxa"/>
              <w:right w:w="15" w:type="dxa"/>
            </w:tcMar>
            <w:vAlign w:val="bottom"/>
          </w:tcPr>
          <w:p w14:paraId="2662830D" w14:textId="77777777" w:rsidR="00030E57" w:rsidRPr="001F4EB6" w:rsidRDefault="00030E57">
            <w:pPr>
              <w:jc w:val="center"/>
              <w:rPr>
                <w:rFonts w:ascii="Arial" w:eastAsia="Arial Unicode MS" w:hAnsi="Arial" w:cs="Arial"/>
                <w:sz w:val="20"/>
                <w:szCs w:val="20"/>
              </w:rPr>
            </w:pPr>
            <w:r w:rsidRPr="001F4EB6">
              <w:rPr>
                <w:rFonts w:ascii="Arial" w:hAnsi="Arial" w:cs="Arial"/>
                <w:sz w:val="20"/>
                <w:szCs w:val="20"/>
              </w:rPr>
              <w:t>Month</w:t>
            </w:r>
          </w:p>
        </w:tc>
        <w:tc>
          <w:tcPr>
            <w:tcW w:w="612" w:type="dxa"/>
            <w:noWrap/>
            <w:tcMar>
              <w:top w:w="15" w:type="dxa"/>
              <w:left w:w="15" w:type="dxa"/>
              <w:bottom w:w="0" w:type="dxa"/>
              <w:right w:w="15" w:type="dxa"/>
            </w:tcMar>
            <w:vAlign w:val="bottom"/>
          </w:tcPr>
          <w:p w14:paraId="2C4A4272" w14:textId="77777777" w:rsidR="00030E57" w:rsidRPr="001F4EB6" w:rsidRDefault="00030E57">
            <w:pPr>
              <w:jc w:val="center"/>
              <w:rPr>
                <w:rFonts w:ascii="Arial" w:eastAsia="Arial Unicode MS" w:hAnsi="Arial" w:cs="Arial"/>
                <w:sz w:val="20"/>
                <w:szCs w:val="20"/>
              </w:rPr>
            </w:pPr>
            <w:r w:rsidRPr="001F4EB6">
              <w:rPr>
                <w:rFonts w:ascii="Arial" w:hAnsi="Arial" w:cs="Arial"/>
                <w:sz w:val="20"/>
                <w:szCs w:val="20"/>
              </w:rPr>
              <w:t>S.I</w:t>
            </w:r>
          </w:p>
        </w:tc>
      </w:tr>
      <w:tr w:rsidR="00030E57" w:rsidRPr="001F4EB6" w14:paraId="7F6AAE29" w14:textId="77777777">
        <w:trPr>
          <w:trHeight w:val="255"/>
        </w:trPr>
        <w:tc>
          <w:tcPr>
            <w:tcW w:w="668" w:type="dxa"/>
            <w:noWrap/>
            <w:tcMar>
              <w:top w:w="15" w:type="dxa"/>
              <w:left w:w="15" w:type="dxa"/>
              <w:bottom w:w="0" w:type="dxa"/>
              <w:right w:w="15" w:type="dxa"/>
            </w:tcMar>
            <w:vAlign w:val="bottom"/>
          </w:tcPr>
          <w:p w14:paraId="3A9B3544" w14:textId="77777777" w:rsidR="00030E57" w:rsidRPr="001F4EB6" w:rsidRDefault="00030E57">
            <w:pPr>
              <w:jc w:val="center"/>
              <w:rPr>
                <w:rFonts w:ascii="Arial" w:eastAsia="Arial Unicode MS" w:hAnsi="Arial" w:cs="Arial"/>
                <w:sz w:val="20"/>
                <w:szCs w:val="20"/>
              </w:rPr>
            </w:pPr>
            <w:r w:rsidRPr="001F4EB6">
              <w:rPr>
                <w:rFonts w:ascii="Arial" w:hAnsi="Arial" w:cs="Arial"/>
                <w:sz w:val="20"/>
                <w:szCs w:val="20"/>
              </w:rPr>
              <w:t>JAN</w:t>
            </w:r>
          </w:p>
        </w:tc>
        <w:tc>
          <w:tcPr>
            <w:tcW w:w="612" w:type="dxa"/>
            <w:noWrap/>
            <w:tcMar>
              <w:top w:w="15" w:type="dxa"/>
              <w:left w:w="15" w:type="dxa"/>
              <w:bottom w:w="0" w:type="dxa"/>
              <w:right w:w="15" w:type="dxa"/>
            </w:tcMar>
            <w:vAlign w:val="bottom"/>
          </w:tcPr>
          <w:p w14:paraId="6F5733CA" w14:textId="77777777" w:rsidR="00030E57" w:rsidRPr="001F4EB6" w:rsidRDefault="00030E57">
            <w:pPr>
              <w:jc w:val="center"/>
              <w:rPr>
                <w:rFonts w:ascii="Arial" w:eastAsia="Arial Unicode MS" w:hAnsi="Arial" w:cs="Arial"/>
                <w:sz w:val="20"/>
                <w:szCs w:val="20"/>
              </w:rPr>
            </w:pPr>
            <w:r w:rsidRPr="001F4EB6">
              <w:rPr>
                <w:rFonts w:ascii="Arial" w:hAnsi="Arial" w:cs="Arial"/>
                <w:sz w:val="20"/>
                <w:szCs w:val="20"/>
              </w:rPr>
              <w:t>0.427</w:t>
            </w:r>
          </w:p>
        </w:tc>
      </w:tr>
      <w:tr w:rsidR="00030E57" w:rsidRPr="001F4EB6" w14:paraId="1DFC81F8" w14:textId="77777777">
        <w:trPr>
          <w:trHeight w:val="255"/>
        </w:trPr>
        <w:tc>
          <w:tcPr>
            <w:tcW w:w="668" w:type="dxa"/>
            <w:noWrap/>
            <w:tcMar>
              <w:top w:w="15" w:type="dxa"/>
              <w:left w:w="15" w:type="dxa"/>
              <w:bottom w:w="0" w:type="dxa"/>
              <w:right w:w="15" w:type="dxa"/>
            </w:tcMar>
            <w:vAlign w:val="bottom"/>
          </w:tcPr>
          <w:p w14:paraId="3AA85CBF" w14:textId="77777777" w:rsidR="00030E57" w:rsidRPr="001F4EB6" w:rsidRDefault="00030E57">
            <w:pPr>
              <w:jc w:val="center"/>
              <w:rPr>
                <w:rFonts w:ascii="Arial" w:eastAsia="Arial Unicode MS" w:hAnsi="Arial" w:cs="Arial"/>
                <w:sz w:val="20"/>
                <w:szCs w:val="20"/>
              </w:rPr>
            </w:pPr>
            <w:r w:rsidRPr="001F4EB6">
              <w:rPr>
                <w:rFonts w:ascii="Arial" w:hAnsi="Arial" w:cs="Arial"/>
                <w:sz w:val="20"/>
                <w:szCs w:val="20"/>
              </w:rPr>
              <w:t>FEB</w:t>
            </w:r>
          </w:p>
        </w:tc>
        <w:tc>
          <w:tcPr>
            <w:tcW w:w="612" w:type="dxa"/>
            <w:noWrap/>
            <w:tcMar>
              <w:top w:w="15" w:type="dxa"/>
              <w:left w:w="15" w:type="dxa"/>
              <w:bottom w:w="0" w:type="dxa"/>
              <w:right w:w="15" w:type="dxa"/>
            </w:tcMar>
            <w:vAlign w:val="bottom"/>
          </w:tcPr>
          <w:p w14:paraId="67FADCFB" w14:textId="77777777" w:rsidR="00030E57" w:rsidRPr="001F4EB6" w:rsidRDefault="00030E57">
            <w:pPr>
              <w:jc w:val="center"/>
              <w:rPr>
                <w:rFonts w:ascii="Arial" w:eastAsia="Arial Unicode MS" w:hAnsi="Arial" w:cs="Arial"/>
                <w:sz w:val="20"/>
                <w:szCs w:val="20"/>
              </w:rPr>
            </w:pPr>
            <w:r w:rsidRPr="001F4EB6">
              <w:rPr>
                <w:rFonts w:ascii="Arial" w:hAnsi="Arial" w:cs="Arial"/>
                <w:sz w:val="20"/>
                <w:szCs w:val="20"/>
              </w:rPr>
              <w:t>0.475</w:t>
            </w:r>
          </w:p>
        </w:tc>
      </w:tr>
      <w:tr w:rsidR="00030E57" w:rsidRPr="001F4EB6" w14:paraId="51873E9C" w14:textId="77777777">
        <w:trPr>
          <w:trHeight w:val="255"/>
        </w:trPr>
        <w:tc>
          <w:tcPr>
            <w:tcW w:w="668" w:type="dxa"/>
            <w:noWrap/>
            <w:tcMar>
              <w:top w:w="15" w:type="dxa"/>
              <w:left w:w="15" w:type="dxa"/>
              <w:bottom w:w="0" w:type="dxa"/>
              <w:right w:w="15" w:type="dxa"/>
            </w:tcMar>
            <w:vAlign w:val="bottom"/>
          </w:tcPr>
          <w:p w14:paraId="7B12D970" w14:textId="77777777" w:rsidR="00030E57" w:rsidRPr="001F4EB6" w:rsidRDefault="00030E57">
            <w:pPr>
              <w:jc w:val="center"/>
              <w:rPr>
                <w:rFonts w:ascii="Arial" w:eastAsia="Arial Unicode MS" w:hAnsi="Arial" w:cs="Arial"/>
                <w:sz w:val="20"/>
                <w:szCs w:val="20"/>
              </w:rPr>
            </w:pPr>
            <w:r w:rsidRPr="001F4EB6">
              <w:rPr>
                <w:rFonts w:ascii="Arial" w:hAnsi="Arial" w:cs="Arial"/>
                <w:sz w:val="20"/>
                <w:szCs w:val="20"/>
              </w:rPr>
              <w:t>MAR</w:t>
            </w:r>
          </w:p>
        </w:tc>
        <w:tc>
          <w:tcPr>
            <w:tcW w:w="612" w:type="dxa"/>
            <w:noWrap/>
            <w:tcMar>
              <w:top w:w="15" w:type="dxa"/>
              <w:left w:w="15" w:type="dxa"/>
              <w:bottom w:w="0" w:type="dxa"/>
              <w:right w:w="15" w:type="dxa"/>
            </w:tcMar>
            <w:vAlign w:val="bottom"/>
          </w:tcPr>
          <w:p w14:paraId="1D2C8F6E" w14:textId="77777777" w:rsidR="00030E57" w:rsidRPr="001F4EB6" w:rsidRDefault="00030E57">
            <w:pPr>
              <w:jc w:val="center"/>
              <w:rPr>
                <w:rFonts w:ascii="Arial" w:eastAsia="Arial Unicode MS" w:hAnsi="Arial" w:cs="Arial"/>
                <w:sz w:val="20"/>
                <w:szCs w:val="20"/>
              </w:rPr>
            </w:pPr>
            <w:r w:rsidRPr="001F4EB6">
              <w:rPr>
                <w:rFonts w:ascii="Arial" w:hAnsi="Arial" w:cs="Arial"/>
                <w:sz w:val="20"/>
                <w:szCs w:val="20"/>
              </w:rPr>
              <w:t>0.463</w:t>
            </w:r>
          </w:p>
        </w:tc>
      </w:tr>
      <w:tr w:rsidR="00030E57" w:rsidRPr="001F4EB6" w14:paraId="7B1E3406" w14:textId="77777777">
        <w:trPr>
          <w:trHeight w:val="255"/>
        </w:trPr>
        <w:tc>
          <w:tcPr>
            <w:tcW w:w="668" w:type="dxa"/>
            <w:noWrap/>
            <w:tcMar>
              <w:top w:w="15" w:type="dxa"/>
              <w:left w:w="15" w:type="dxa"/>
              <w:bottom w:w="0" w:type="dxa"/>
              <w:right w:w="15" w:type="dxa"/>
            </w:tcMar>
            <w:vAlign w:val="bottom"/>
          </w:tcPr>
          <w:p w14:paraId="4C79C3BB" w14:textId="77777777" w:rsidR="00030E57" w:rsidRPr="001F4EB6" w:rsidRDefault="00030E57">
            <w:pPr>
              <w:jc w:val="center"/>
              <w:rPr>
                <w:rFonts w:ascii="Arial" w:eastAsia="Arial Unicode MS" w:hAnsi="Arial" w:cs="Arial"/>
                <w:sz w:val="20"/>
                <w:szCs w:val="20"/>
              </w:rPr>
            </w:pPr>
            <w:r w:rsidRPr="001F4EB6">
              <w:rPr>
                <w:rFonts w:ascii="Arial" w:hAnsi="Arial" w:cs="Arial"/>
                <w:sz w:val="20"/>
                <w:szCs w:val="20"/>
              </w:rPr>
              <w:t>APR</w:t>
            </w:r>
          </w:p>
        </w:tc>
        <w:tc>
          <w:tcPr>
            <w:tcW w:w="612" w:type="dxa"/>
            <w:noWrap/>
            <w:tcMar>
              <w:top w:w="15" w:type="dxa"/>
              <w:left w:w="15" w:type="dxa"/>
              <w:bottom w:w="0" w:type="dxa"/>
              <w:right w:w="15" w:type="dxa"/>
            </w:tcMar>
            <w:vAlign w:val="bottom"/>
          </w:tcPr>
          <w:p w14:paraId="7656CDB3" w14:textId="77777777" w:rsidR="00030E57" w:rsidRPr="001F4EB6" w:rsidRDefault="00030E57">
            <w:pPr>
              <w:jc w:val="center"/>
              <w:rPr>
                <w:rFonts w:ascii="Arial" w:eastAsia="Arial Unicode MS" w:hAnsi="Arial" w:cs="Arial"/>
                <w:sz w:val="20"/>
                <w:szCs w:val="20"/>
              </w:rPr>
            </w:pPr>
            <w:r w:rsidRPr="001F4EB6">
              <w:rPr>
                <w:rFonts w:ascii="Arial" w:hAnsi="Arial" w:cs="Arial"/>
                <w:sz w:val="20"/>
                <w:szCs w:val="20"/>
              </w:rPr>
              <w:t>0.398</w:t>
            </w:r>
          </w:p>
        </w:tc>
      </w:tr>
      <w:tr w:rsidR="00030E57" w:rsidRPr="001F4EB6" w14:paraId="58AD7F21" w14:textId="77777777">
        <w:trPr>
          <w:trHeight w:val="255"/>
        </w:trPr>
        <w:tc>
          <w:tcPr>
            <w:tcW w:w="668" w:type="dxa"/>
            <w:noWrap/>
            <w:tcMar>
              <w:top w:w="15" w:type="dxa"/>
              <w:left w:w="15" w:type="dxa"/>
              <w:bottom w:w="0" w:type="dxa"/>
              <w:right w:w="15" w:type="dxa"/>
            </w:tcMar>
            <w:vAlign w:val="bottom"/>
          </w:tcPr>
          <w:p w14:paraId="50BECEE1" w14:textId="77777777" w:rsidR="00030E57" w:rsidRPr="001F4EB6" w:rsidRDefault="00030E57">
            <w:pPr>
              <w:jc w:val="center"/>
              <w:rPr>
                <w:rFonts w:ascii="Arial" w:eastAsia="Arial Unicode MS" w:hAnsi="Arial" w:cs="Arial"/>
                <w:sz w:val="20"/>
                <w:szCs w:val="20"/>
              </w:rPr>
            </w:pPr>
            <w:r w:rsidRPr="001F4EB6">
              <w:rPr>
                <w:rFonts w:ascii="Arial" w:hAnsi="Arial" w:cs="Arial"/>
                <w:sz w:val="20"/>
                <w:szCs w:val="20"/>
              </w:rPr>
              <w:t>MAY</w:t>
            </w:r>
          </w:p>
        </w:tc>
        <w:tc>
          <w:tcPr>
            <w:tcW w:w="612" w:type="dxa"/>
            <w:noWrap/>
            <w:tcMar>
              <w:top w:w="15" w:type="dxa"/>
              <w:left w:w="15" w:type="dxa"/>
              <w:bottom w:w="0" w:type="dxa"/>
              <w:right w:w="15" w:type="dxa"/>
            </w:tcMar>
            <w:vAlign w:val="bottom"/>
          </w:tcPr>
          <w:p w14:paraId="43135B97" w14:textId="77777777" w:rsidR="00030E57" w:rsidRPr="001F4EB6" w:rsidRDefault="00030E57">
            <w:pPr>
              <w:jc w:val="center"/>
              <w:rPr>
                <w:rFonts w:ascii="Arial" w:eastAsia="Arial Unicode MS" w:hAnsi="Arial" w:cs="Arial"/>
                <w:sz w:val="20"/>
                <w:szCs w:val="20"/>
              </w:rPr>
            </w:pPr>
            <w:r w:rsidRPr="001F4EB6">
              <w:rPr>
                <w:rFonts w:ascii="Arial" w:hAnsi="Arial" w:cs="Arial"/>
                <w:sz w:val="20"/>
                <w:szCs w:val="20"/>
              </w:rPr>
              <w:t>0.621</w:t>
            </w:r>
          </w:p>
        </w:tc>
      </w:tr>
      <w:tr w:rsidR="00030E57" w:rsidRPr="001F4EB6" w14:paraId="29D1CF7D" w14:textId="77777777">
        <w:trPr>
          <w:trHeight w:val="255"/>
        </w:trPr>
        <w:tc>
          <w:tcPr>
            <w:tcW w:w="668" w:type="dxa"/>
            <w:noWrap/>
            <w:tcMar>
              <w:top w:w="15" w:type="dxa"/>
              <w:left w:w="15" w:type="dxa"/>
              <w:bottom w:w="0" w:type="dxa"/>
              <w:right w:w="15" w:type="dxa"/>
            </w:tcMar>
            <w:vAlign w:val="bottom"/>
          </w:tcPr>
          <w:p w14:paraId="12F2F593" w14:textId="77777777" w:rsidR="00030E57" w:rsidRPr="001F4EB6" w:rsidRDefault="00030E57">
            <w:pPr>
              <w:jc w:val="center"/>
              <w:rPr>
                <w:rFonts w:ascii="Arial" w:eastAsia="Arial Unicode MS" w:hAnsi="Arial" w:cs="Arial"/>
                <w:sz w:val="20"/>
                <w:szCs w:val="20"/>
              </w:rPr>
            </w:pPr>
            <w:r w:rsidRPr="001F4EB6">
              <w:rPr>
                <w:rFonts w:ascii="Arial" w:hAnsi="Arial" w:cs="Arial"/>
                <w:sz w:val="20"/>
                <w:szCs w:val="20"/>
              </w:rPr>
              <w:t>JUN</w:t>
            </w:r>
          </w:p>
        </w:tc>
        <w:tc>
          <w:tcPr>
            <w:tcW w:w="612" w:type="dxa"/>
            <w:noWrap/>
            <w:tcMar>
              <w:top w:w="15" w:type="dxa"/>
              <w:left w:w="15" w:type="dxa"/>
              <w:bottom w:w="0" w:type="dxa"/>
              <w:right w:w="15" w:type="dxa"/>
            </w:tcMar>
            <w:vAlign w:val="bottom"/>
          </w:tcPr>
          <w:p w14:paraId="0DC3C10D" w14:textId="77777777" w:rsidR="00030E57" w:rsidRPr="001F4EB6" w:rsidRDefault="00030E57">
            <w:pPr>
              <w:jc w:val="center"/>
              <w:rPr>
                <w:rFonts w:ascii="Arial" w:eastAsia="Arial Unicode MS" w:hAnsi="Arial" w:cs="Arial"/>
                <w:sz w:val="20"/>
                <w:szCs w:val="20"/>
              </w:rPr>
            </w:pPr>
            <w:r w:rsidRPr="001F4EB6">
              <w:rPr>
                <w:rFonts w:ascii="Arial" w:hAnsi="Arial" w:cs="Arial"/>
                <w:sz w:val="20"/>
                <w:szCs w:val="20"/>
              </w:rPr>
              <w:t>0.834</w:t>
            </w:r>
          </w:p>
        </w:tc>
      </w:tr>
      <w:tr w:rsidR="00030E57" w:rsidRPr="001F4EB6" w14:paraId="6BB244EC" w14:textId="77777777">
        <w:trPr>
          <w:trHeight w:val="255"/>
        </w:trPr>
        <w:tc>
          <w:tcPr>
            <w:tcW w:w="668" w:type="dxa"/>
            <w:noWrap/>
            <w:tcMar>
              <w:top w:w="15" w:type="dxa"/>
              <w:left w:w="15" w:type="dxa"/>
              <w:bottom w:w="0" w:type="dxa"/>
              <w:right w:w="15" w:type="dxa"/>
            </w:tcMar>
            <w:vAlign w:val="bottom"/>
          </w:tcPr>
          <w:p w14:paraId="7111B7FD" w14:textId="77777777" w:rsidR="00030E57" w:rsidRPr="001F4EB6" w:rsidRDefault="00030E57">
            <w:pPr>
              <w:jc w:val="center"/>
              <w:rPr>
                <w:rFonts w:ascii="Arial" w:eastAsia="Arial Unicode MS" w:hAnsi="Arial" w:cs="Arial"/>
                <w:sz w:val="20"/>
                <w:szCs w:val="20"/>
              </w:rPr>
            </w:pPr>
            <w:r w:rsidRPr="001F4EB6">
              <w:rPr>
                <w:rFonts w:ascii="Arial" w:hAnsi="Arial" w:cs="Arial"/>
                <w:sz w:val="20"/>
                <w:szCs w:val="20"/>
              </w:rPr>
              <w:t>JUL</w:t>
            </w:r>
          </w:p>
        </w:tc>
        <w:tc>
          <w:tcPr>
            <w:tcW w:w="612" w:type="dxa"/>
            <w:noWrap/>
            <w:tcMar>
              <w:top w:w="15" w:type="dxa"/>
              <w:left w:w="15" w:type="dxa"/>
              <w:bottom w:w="0" w:type="dxa"/>
              <w:right w:w="15" w:type="dxa"/>
            </w:tcMar>
            <w:vAlign w:val="bottom"/>
          </w:tcPr>
          <w:p w14:paraId="4FCC4CFC" w14:textId="77777777" w:rsidR="00030E57" w:rsidRPr="001F4EB6" w:rsidRDefault="00030E57">
            <w:pPr>
              <w:jc w:val="center"/>
              <w:rPr>
                <w:rFonts w:ascii="Arial" w:eastAsia="Arial Unicode MS" w:hAnsi="Arial" w:cs="Arial"/>
                <w:sz w:val="20"/>
                <w:szCs w:val="20"/>
              </w:rPr>
            </w:pPr>
            <w:r w:rsidRPr="001F4EB6">
              <w:rPr>
                <w:rFonts w:ascii="Arial" w:hAnsi="Arial" w:cs="Arial"/>
                <w:sz w:val="20"/>
                <w:szCs w:val="20"/>
              </w:rPr>
              <w:t>0.853</w:t>
            </w:r>
          </w:p>
        </w:tc>
      </w:tr>
      <w:tr w:rsidR="00030E57" w:rsidRPr="001F4EB6" w14:paraId="19FEF1C3" w14:textId="77777777">
        <w:trPr>
          <w:trHeight w:val="255"/>
        </w:trPr>
        <w:tc>
          <w:tcPr>
            <w:tcW w:w="668" w:type="dxa"/>
            <w:noWrap/>
            <w:tcMar>
              <w:top w:w="15" w:type="dxa"/>
              <w:left w:w="15" w:type="dxa"/>
              <w:bottom w:w="0" w:type="dxa"/>
              <w:right w:w="15" w:type="dxa"/>
            </w:tcMar>
            <w:vAlign w:val="bottom"/>
          </w:tcPr>
          <w:p w14:paraId="310B08B9" w14:textId="77777777" w:rsidR="00030E57" w:rsidRPr="001F4EB6" w:rsidRDefault="00030E57">
            <w:pPr>
              <w:jc w:val="center"/>
              <w:rPr>
                <w:rFonts w:ascii="Arial" w:eastAsia="Arial Unicode MS" w:hAnsi="Arial" w:cs="Arial"/>
                <w:sz w:val="20"/>
                <w:szCs w:val="20"/>
              </w:rPr>
            </w:pPr>
            <w:r w:rsidRPr="001F4EB6">
              <w:rPr>
                <w:rFonts w:ascii="Arial" w:hAnsi="Arial" w:cs="Arial"/>
                <w:sz w:val="20"/>
                <w:szCs w:val="20"/>
              </w:rPr>
              <w:t>AUG</w:t>
            </w:r>
          </w:p>
        </w:tc>
        <w:tc>
          <w:tcPr>
            <w:tcW w:w="612" w:type="dxa"/>
            <w:noWrap/>
            <w:tcMar>
              <w:top w:w="15" w:type="dxa"/>
              <w:left w:w="15" w:type="dxa"/>
              <w:bottom w:w="0" w:type="dxa"/>
              <w:right w:w="15" w:type="dxa"/>
            </w:tcMar>
            <w:vAlign w:val="bottom"/>
          </w:tcPr>
          <w:p w14:paraId="0F5A65C5" w14:textId="77777777" w:rsidR="00030E57" w:rsidRPr="001F4EB6" w:rsidRDefault="00030E57">
            <w:pPr>
              <w:jc w:val="center"/>
              <w:rPr>
                <w:rFonts w:ascii="Arial" w:eastAsia="Arial Unicode MS" w:hAnsi="Arial" w:cs="Arial"/>
                <w:sz w:val="20"/>
                <w:szCs w:val="20"/>
              </w:rPr>
            </w:pPr>
            <w:r w:rsidRPr="001F4EB6">
              <w:rPr>
                <w:rFonts w:ascii="Arial" w:hAnsi="Arial" w:cs="Arial"/>
                <w:sz w:val="20"/>
                <w:szCs w:val="20"/>
              </w:rPr>
              <w:t>1.151</w:t>
            </w:r>
          </w:p>
        </w:tc>
      </w:tr>
      <w:tr w:rsidR="00030E57" w:rsidRPr="001F4EB6" w14:paraId="3DC5AAB3" w14:textId="77777777">
        <w:trPr>
          <w:trHeight w:val="255"/>
        </w:trPr>
        <w:tc>
          <w:tcPr>
            <w:tcW w:w="668" w:type="dxa"/>
            <w:noWrap/>
            <w:tcMar>
              <w:top w:w="15" w:type="dxa"/>
              <w:left w:w="15" w:type="dxa"/>
              <w:bottom w:w="0" w:type="dxa"/>
              <w:right w:w="15" w:type="dxa"/>
            </w:tcMar>
            <w:vAlign w:val="bottom"/>
          </w:tcPr>
          <w:p w14:paraId="648D8C58" w14:textId="77777777" w:rsidR="00030E57" w:rsidRPr="001F4EB6" w:rsidRDefault="00030E57">
            <w:pPr>
              <w:jc w:val="center"/>
              <w:rPr>
                <w:rFonts w:ascii="Arial" w:eastAsia="Arial Unicode MS" w:hAnsi="Arial" w:cs="Arial"/>
                <w:sz w:val="20"/>
                <w:szCs w:val="20"/>
              </w:rPr>
            </w:pPr>
            <w:r w:rsidRPr="001F4EB6">
              <w:rPr>
                <w:rFonts w:ascii="Arial" w:hAnsi="Arial" w:cs="Arial"/>
                <w:sz w:val="20"/>
                <w:szCs w:val="20"/>
              </w:rPr>
              <w:t>SEP</w:t>
            </w:r>
          </w:p>
        </w:tc>
        <w:tc>
          <w:tcPr>
            <w:tcW w:w="612" w:type="dxa"/>
            <w:noWrap/>
            <w:tcMar>
              <w:top w:w="15" w:type="dxa"/>
              <w:left w:w="15" w:type="dxa"/>
              <w:bottom w:w="0" w:type="dxa"/>
              <w:right w:w="15" w:type="dxa"/>
            </w:tcMar>
            <w:vAlign w:val="bottom"/>
          </w:tcPr>
          <w:p w14:paraId="254E0940" w14:textId="77777777" w:rsidR="00030E57" w:rsidRPr="001F4EB6" w:rsidRDefault="00030E57">
            <w:pPr>
              <w:jc w:val="center"/>
              <w:rPr>
                <w:rFonts w:ascii="Arial" w:eastAsia="Arial Unicode MS" w:hAnsi="Arial" w:cs="Arial"/>
                <w:sz w:val="20"/>
                <w:szCs w:val="20"/>
              </w:rPr>
            </w:pPr>
            <w:r w:rsidRPr="001F4EB6">
              <w:rPr>
                <w:rFonts w:ascii="Arial" w:hAnsi="Arial" w:cs="Arial"/>
                <w:sz w:val="20"/>
                <w:szCs w:val="20"/>
              </w:rPr>
              <w:t>1.733</w:t>
            </w:r>
          </w:p>
        </w:tc>
      </w:tr>
      <w:tr w:rsidR="00030E57" w:rsidRPr="001F4EB6" w14:paraId="34F1233B" w14:textId="77777777">
        <w:trPr>
          <w:trHeight w:val="255"/>
        </w:trPr>
        <w:tc>
          <w:tcPr>
            <w:tcW w:w="668" w:type="dxa"/>
            <w:noWrap/>
            <w:tcMar>
              <w:top w:w="15" w:type="dxa"/>
              <w:left w:w="15" w:type="dxa"/>
              <w:bottom w:w="0" w:type="dxa"/>
              <w:right w:w="15" w:type="dxa"/>
            </w:tcMar>
            <w:vAlign w:val="bottom"/>
          </w:tcPr>
          <w:p w14:paraId="633275AF" w14:textId="77777777" w:rsidR="00030E57" w:rsidRPr="001F4EB6" w:rsidRDefault="00030E57">
            <w:pPr>
              <w:jc w:val="center"/>
              <w:rPr>
                <w:rFonts w:ascii="Arial" w:eastAsia="Arial Unicode MS" w:hAnsi="Arial" w:cs="Arial"/>
                <w:sz w:val="20"/>
                <w:szCs w:val="20"/>
              </w:rPr>
            </w:pPr>
            <w:r w:rsidRPr="001F4EB6">
              <w:rPr>
                <w:rFonts w:ascii="Arial" w:hAnsi="Arial" w:cs="Arial"/>
                <w:sz w:val="20"/>
                <w:szCs w:val="20"/>
              </w:rPr>
              <w:t>OCT</w:t>
            </w:r>
          </w:p>
        </w:tc>
        <w:tc>
          <w:tcPr>
            <w:tcW w:w="612" w:type="dxa"/>
            <w:noWrap/>
            <w:tcMar>
              <w:top w:w="15" w:type="dxa"/>
              <w:left w:w="15" w:type="dxa"/>
              <w:bottom w:w="0" w:type="dxa"/>
              <w:right w:w="15" w:type="dxa"/>
            </w:tcMar>
            <w:vAlign w:val="bottom"/>
          </w:tcPr>
          <w:p w14:paraId="21D9A08E" w14:textId="77777777" w:rsidR="00030E57" w:rsidRPr="001F4EB6" w:rsidRDefault="00030E57">
            <w:pPr>
              <w:jc w:val="center"/>
              <w:rPr>
                <w:rFonts w:ascii="Arial" w:eastAsia="Arial Unicode MS" w:hAnsi="Arial" w:cs="Arial"/>
                <w:sz w:val="20"/>
                <w:szCs w:val="20"/>
              </w:rPr>
            </w:pPr>
            <w:r w:rsidRPr="001F4EB6">
              <w:rPr>
                <w:rFonts w:ascii="Arial" w:hAnsi="Arial" w:cs="Arial"/>
                <w:sz w:val="20"/>
                <w:szCs w:val="20"/>
              </w:rPr>
              <w:t>1.778</w:t>
            </w:r>
          </w:p>
        </w:tc>
      </w:tr>
      <w:tr w:rsidR="00030E57" w:rsidRPr="001F4EB6" w14:paraId="31B56904" w14:textId="77777777">
        <w:trPr>
          <w:trHeight w:val="255"/>
        </w:trPr>
        <w:tc>
          <w:tcPr>
            <w:tcW w:w="668" w:type="dxa"/>
            <w:noWrap/>
            <w:tcMar>
              <w:top w:w="15" w:type="dxa"/>
              <w:left w:w="15" w:type="dxa"/>
              <w:bottom w:w="0" w:type="dxa"/>
              <w:right w:w="15" w:type="dxa"/>
            </w:tcMar>
            <w:vAlign w:val="bottom"/>
          </w:tcPr>
          <w:p w14:paraId="21E15864" w14:textId="77777777" w:rsidR="00030E57" w:rsidRPr="001F4EB6" w:rsidRDefault="00030E57">
            <w:pPr>
              <w:jc w:val="center"/>
              <w:rPr>
                <w:rFonts w:ascii="Arial" w:eastAsia="Arial Unicode MS" w:hAnsi="Arial" w:cs="Arial"/>
                <w:sz w:val="20"/>
                <w:szCs w:val="20"/>
              </w:rPr>
            </w:pPr>
            <w:r w:rsidRPr="001F4EB6">
              <w:rPr>
                <w:rFonts w:ascii="Arial" w:hAnsi="Arial" w:cs="Arial"/>
                <w:sz w:val="20"/>
                <w:szCs w:val="20"/>
              </w:rPr>
              <w:t>NOV</w:t>
            </w:r>
          </w:p>
        </w:tc>
        <w:tc>
          <w:tcPr>
            <w:tcW w:w="612" w:type="dxa"/>
            <w:noWrap/>
            <w:tcMar>
              <w:top w:w="15" w:type="dxa"/>
              <w:left w:w="15" w:type="dxa"/>
              <w:bottom w:w="0" w:type="dxa"/>
              <w:right w:w="15" w:type="dxa"/>
            </w:tcMar>
            <w:vAlign w:val="bottom"/>
          </w:tcPr>
          <w:p w14:paraId="5D08B284" w14:textId="77777777" w:rsidR="00030E57" w:rsidRPr="001F4EB6" w:rsidRDefault="00030E57">
            <w:pPr>
              <w:jc w:val="center"/>
              <w:rPr>
                <w:rFonts w:ascii="Arial" w:eastAsia="Arial Unicode MS" w:hAnsi="Arial" w:cs="Arial"/>
                <w:sz w:val="20"/>
                <w:szCs w:val="20"/>
              </w:rPr>
            </w:pPr>
            <w:r w:rsidRPr="001F4EB6">
              <w:rPr>
                <w:rFonts w:ascii="Arial" w:hAnsi="Arial" w:cs="Arial"/>
                <w:sz w:val="20"/>
                <w:szCs w:val="20"/>
              </w:rPr>
              <w:t>2.124</w:t>
            </w:r>
          </w:p>
        </w:tc>
      </w:tr>
      <w:tr w:rsidR="00030E57" w:rsidRPr="001F4EB6" w14:paraId="74817DA4" w14:textId="77777777">
        <w:trPr>
          <w:trHeight w:val="255"/>
        </w:trPr>
        <w:tc>
          <w:tcPr>
            <w:tcW w:w="668" w:type="dxa"/>
            <w:noWrap/>
            <w:tcMar>
              <w:top w:w="15" w:type="dxa"/>
              <w:left w:w="15" w:type="dxa"/>
              <w:bottom w:w="0" w:type="dxa"/>
              <w:right w:w="15" w:type="dxa"/>
            </w:tcMar>
            <w:vAlign w:val="bottom"/>
          </w:tcPr>
          <w:p w14:paraId="178A89FC" w14:textId="77777777" w:rsidR="00030E57" w:rsidRPr="001F4EB6" w:rsidRDefault="00030E57">
            <w:pPr>
              <w:jc w:val="center"/>
              <w:rPr>
                <w:rFonts w:ascii="Arial" w:eastAsia="Arial Unicode MS" w:hAnsi="Arial" w:cs="Arial"/>
                <w:sz w:val="20"/>
                <w:szCs w:val="20"/>
              </w:rPr>
            </w:pPr>
            <w:r w:rsidRPr="001F4EB6">
              <w:rPr>
                <w:rFonts w:ascii="Arial" w:hAnsi="Arial" w:cs="Arial"/>
                <w:sz w:val="20"/>
                <w:szCs w:val="20"/>
              </w:rPr>
              <w:t>DEC</w:t>
            </w:r>
          </w:p>
        </w:tc>
        <w:tc>
          <w:tcPr>
            <w:tcW w:w="612" w:type="dxa"/>
            <w:noWrap/>
            <w:tcMar>
              <w:top w:w="15" w:type="dxa"/>
              <w:left w:w="15" w:type="dxa"/>
              <w:bottom w:w="0" w:type="dxa"/>
              <w:right w:w="15" w:type="dxa"/>
            </w:tcMar>
            <w:vAlign w:val="bottom"/>
          </w:tcPr>
          <w:p w14:paraId="38DC3F9F" w14:textId="77777777" w:rsidR="00030E57" w:rsidRPr="001F4EB6" w:rsidRDefault="00030E57">
            <w:pPr>
              <w:jc w:val="center"/>
              <w:rPr>
                <w:rFonts w:ascii="Arial" w:eastAsia="Arial Unicode MS" w:hAnsi="Arial" w:cs="Arial"/>
                <w:sz w:val="20"/>
                <w:szCs w:val="20"/>
              </w:rPr>
            </w:pPr>
            <w:r w:rsidRPr="001F4EB6">
              <w:rPr>
                <w:rFonts w:ascii="Arial" w:hAnsi="Arial" w:cs="Arial"/>
                <w:sz w:val="20"/>
                <w:szCs w:val="20"/>
              </w:rPr>
              <w:t>1.095</w:t>
            </w:r>
          </w:p>
        </w:tc>
      </w:tr>
    </w:tbl>
    <w:p w14:paraId="26BDF657" w14:textId="77777777" w:rsidR="00030E57" w:rsidRPr="001F4EB6" w:rsidRDefault="00030E57"/>
    <w:p w14:paraId="60A02186" w14:textId="77777777" w:rsidR="00030E57" w:rsidRPr="001F4EB6" w:rsidRDefault="00030E57"/>
    <w:p w14:paraId="7A32FB2D" w14:textId="77777777" w:rsidR="00030E57" w:rsidRPr="001F4EB6" w:rsidRDefault="00030E57">
      <w:r w:rsidRPr="001F4EB6">
        <w:t>For example, the forecast for January of Year 6 is obtained by the following calculation</w:t>
      </w:r>
      <w:r w:rsidR="003A0567">
        <w:t xml:space="preserve"> (Cell H81)</w:t>
      </w:r>
      <w:r w:rsidRPr="001F4EB6">
        <w:t>:</w:t>
      </w:r>
    </w:p>
    <w:p w14:paraId="10DAE3F6" w14:textId="77777777" w:rsidR="00030E57" w:rsidRPr="001F4EB6" w:rsidRDefault="00030E57"/>
    <w:p w14:paraId="38681C86" w14:textId="77777777" w:rsidR="00030E57" w:rsidRPr="001F4EB6" w:rsidRDefault="00030E57">
      <w:r w:rsidRPr="001F4EB6">
        <w:t>F</w:t>
      </w:r>
      <w:r w:rsidRPr="001F4EB6">
        <w:rPr>
          <w:vertAlign w:val="subscript"/>
        </w:rPr>
        <w:t xml:space="preserve">61 </w:t>
      </w:r>
      <w:r w:rsidRPr="001F4EB6">
        <w:t>= [5997.261 + (61) * 70.245] * 0.4266 = 4386</w:t>
      </w:r>
    </w:p>
    <w:p w14:paraId="0D1B1773" w14:textId="77777777" w:rsidR="00030E57" w:rsidRPr="001F4EB6" w:rsidRDefault="00030E57"/>
    <w:p w14:paraId="635F574A" w14:textId="77777777" w:rsidR="00030E57" w:rsidRPr="001F4EB6" w:rsidRDefault="00030E57"/>
    <w:p w14:paraId="5BA49AC8" w14:textId="77777777" w:rsidR="00794919" w:rsidRDefault="00794919">
      <w:pPr>
        <w:pStyle w:val="BodyText"/>
        <w:rPr>
          <w:color w:val="auto"/>
        </w:rPr>
      </w:pPr>
      <w:r>
        <w:rPr>
          <w:color w:val="auto"/>
        </w:rPr>
        <w:t>The forecast for year 6 is obtained in Cells H81:92 and is as follows:</w:t>
      </w:r>
    </w:p>
    <w:p w14:paraId="54D2CFE2" w14:textId="77777777" w:rsidR="00794919" w:rsidRDefault="00794919">
      <w:pPr>
        <w:pStyle w:val="BodyText"/>
        <w:rPr>
          <w:color w:val="auto"/>
        </w:rPr>
      </w:pPr>
      <w:r w:rsidRPr="00794919">
        <w:rPr>
          <w:noProof/>
          <w:lang w:eastAsia="en-US"/>
        </w:rPr>
        <w:lastRenderedPageBreak/>
        <w:drawing>
          <wp:inline distT="0" distB="0" distL="0" distR="0" wp14:anchorId="67BD9477" wp14:editId="6EF589D8">
            <wp:extent cx="5486400" cy="19507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486400" cy="1950720"/>
                    </a:xfrm>
                    <a:prstGeom prst="rect">
                      <a:avLst/>
                    </a:prstGeom>
                  </pic:spPr>
                </pic:pic>
              </a:graphicData>
            </a:graphic>
          </wp:inline>
        </w:drawing>
      </w:r>
    </w:p>
    <w:p w14:paraId="367DFA27" w14:textId="77777777" w:rsidR="00794919" w:rsidRDefault="00794919">
      <w:pPr>
        <w:pStyle w:val="BodyText"/>
        <w:rPr>
          <w:color w:val="auto"/>
        </w:rPr>
      </w:pPr>
    </w:p>
    <w:p w14:paraId="19F276F9" w14:textId="353F5E24" w:rsidR="00794919" w:rsidRDefault="00794919" w:rsidP="00794919">
      <w:pPr>
        <w:pStyle w:val="BodyText"/>
        <w:rPr>
          <w:color w:val="auto"/>
        </w:rPr>
      </w:pPr>
      <w:r>
        <w:rPr>
          <w:color w:val="auto"/>
        </w:rPr>
        <w:t xml:space="preserve">The various measures of forecast errors are as follows (Cells L80 – Q80). </w:t>
      </w:r>
    </w:p>
    <w:p w14:paraId="05CAE8E8" w14:textId="77777777" w:rsidR="00794919" w:rsidRDefault="00794919">
      <w:pPr>
        <w:pStyle w:val="BodyText"/>
        <w:rPr>
          <w:color w:val="auto"/>
        </w:rPr>
      </w:pPr>
    </w:p>
    <w:p w14:paraId="5455B378" w14:textId="77777777" w:rsidR="00794919" w:rsidRDefault="00794919" w:rsidP="00634C52">
      <w:pPr>
        <w:pStyle w:val="BodyText"/>
        <w:jc w:val="center"/>
        <w:rPr>
          <w:color w:val="auto"/>
        </w:rPr>
      </w:pPr>
      <w:r w:rsidRPr="00794919">
        <w:rPr>
          <w:noProof/>
          <w:lang w:eastAsia="en-US"/>
        </w:rPr>
        <w:drawing>
          <wp:inline distT="0" distB="0" distL="0" distR="0" wp14:anchorId="5CB623E5" wp14:editId="528BEEEB">
            <wp:extent cx="3767328" cy="93268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767328" cy="932688"/>
                    </a:xfrm>
                    <a:prstGeom prst="rect">
                      <a:avLst/>
                    </a:prstGeom>
                  </pic:spPr>
                </pic:pic>
              </a:graphicData>
            </a:graphic>
          </wp:inline>
        </w:drawing>
      </w:r>
    </w:p>
    <w:p w14:paraId="76D2DC5B" w14:textId="77777777" w:rsidR="00794919" w:rsidRDefault="00794919">
      <w:pPr>
        <w:pStyle w:val="BodyText"/>
        <w:rPr>
          <w:color w:val="auto"/>
        </w:rPr>
      </w:pPr>
    </w:p>
    <w:p w14:paraId="125C8021" w14:textId="77BE5FC2" w:rsidR="00030E57" w:rsidRPr="001F4EB6" w:rsidRDefault="00794919">
      <w:pPr>
        <w:pStyle w:val="BodyText"/>
        <w:rPr>
          <w:color w:val="auto"/>
        </w:rPr>
      </w:pPr>
      <w:r>
        <w:rPr>
          <w:color w:val="auto"/>
        </w:rPr>
        <w:t>The overall quality of the forecast is reasonably good.</w:t>
      </w:r>
    </w:p>
    <w:p w14:paraId="01AC2937" w14:textId="77777777" w:rsidR="00030E57" w:rsidRPr="001F4EB6" w:rsidRDefault="00030E57"/>
    <w:p w14:paraId="44B5D170" w14:textId="77777777" w:rsidR="00D07340" w:rsidRPr="001F4EB6" w:rsidRDefault="00D07340"/>
    <w:p w14:paraId="0E3080D9" w14:textId="77777777" w:rsidR="00030E57" w:rsidRPr="001F4EB6" w:rsidRDefault="00030E57">
      <w:r w:rsidRPr="001F4EB6">
        <w:rPr>
          <w:b/>
        </w:rPr>
        <w:t>Problem 7-2</w:t>
      </w:r>
      <w:r w:rsidRPr="001F4EB6">
        <w:t>:</w:t>
      </w:r>
    </w:p>
    <w:p w14:paraId="75CBB010" w14:textId="77777777" w:rsidR="00030E57" w:rsidRPr="001F4EB6" w:rsidRDefault="00030E57"/>
    <w:p w14:paraId="222E4E99" w14:textId="2B3274E3" w:rsidR="00030E57" w:rsidRPr="001F4EB6" w:rsidRDefault="00030E57">
      <w:r w:rsidRPr="001F4EB6">
        <w:t xml:space="preserve">Worksheet </w:t>
      </w:r>
      <w:r w:rsidR="00D80FC6" w:rsidRPr="00634C52">
        <w:rPr>
          <w:i/>
        </w:rPr>
        <w:t xml:space="preserve">Exercise </w:t>
      </w:r>
      <w:r w:rsidRPr="00634C52">
        <w:rPr>
          <w:i/>
        </w:rPr>
        <w:t>7-2</w:t>
      </w:r>
      <w:r w:rsidRPr="001F4EB6">
        <w:t xml:space="preserve"> compares the four-week moving average approach with the exponential smoothing model (alpha = 0.1). In a four-week moving average model</w:t>
      </w:r>
      <w:r w:rsidR="00FE5A83">
        <w:t>,</w:t>
      </w:r>
      <w:r w:rsidRPr="001F4EB6">
        <w:t xml:space="preserve"> the weight assigned to the most recent data is 0.25 whereas in the case of the exponential smoothing model the weight assigned is 0.1. The following graphs depict the results from the two models.  </w:t>
      </w:r>
    </w:p>
    <w:p w14:paraId="658A15ED" w14:textId="77777777" w:rsidR="00030E57" w:rsidRPr="001F4EB6" w:rsidRDefault="00030E57"/>
    <w:p w14:paraId="7D7816D6" w14:textId="77777777" w:rsidR="00030E57" w:rsidRPr="001F4EB6" w:rsidRDefault="00350C3D" w:rsidP="00634C52">
      <w:pPr>
        <w:jc w:val="center"/>
      </w:pPr>
      <w:r w:rsidRPr="001F4EB6">
        <w:rPr>
          <w:noProof/>
          <w:lang w:eastAsia="en-US"/>
        </w:rPr>
        <w:drawing>
          <wp:inline distT="0" distB="0" distL="0" distR="0" wp14:anchorId="4D9EE40E" wp14:editId="639FBF81">
            <wp:extent cx="4324350" cy="2371725"/>
            <wp:effectExtent l="0" t="0" r="0" b="0"/>
            <wp:docPr id="3"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0311059C" w14:textId="77777777" w:rsidR="00030E57" w:rsidRPr="001F4EB6" w:rsidRDefault="00030E57"/>
    <w:p w14:paraId="3F10DA82" w14:textId="77777777" w:rsidR="00030E57" w:rsidRPr="001F4EB6" w:rsidRDefault="00030E57"/>
    <w:p w14:paraId="049B86D9" w14:textId="77777777" w:rsidR="00030E57" w:rsidRPr="001F4EB6" w:rsidRDefault="00350C3D" w:rsidP="00634C52">
      <w:pPr>
        <w:jc w:val="center"/>
      </w:pPr>
      <w:r w:rsidRPr="001F4EB6">
        <w:rPr>
          <w:noProof/>
          <w:lang w:eastAsia="en-US"/>
        </w:rPr>
        <w:drawing>
          <wp:inline distT="0" distB="0" distL="0" distR="0" wp14:anchorId="0282B094" wp14:editId="6ABCC2C7">
            <wp:extent cx="4324350" cy="2800350"/>
            <wp:effectExtent l="0" t="0" r="0" b="0"/>
            <wp:docPr id="4"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D90E03D" w14:textId="77777777" w:rsidR="00030E57" w:rsidRPr="001F4EB6" w:rsidRDefault="00030E57"/>
    <w:p w14:paraId="19F760D9" w14:textId="49BB01EE" w:rsidR="00030E57" w:rsidRPr="001F4EB6" w:rsidRDefault="00030E57">
      <w:pPr>
        <w:pStyle w:val="BodyText"/>
        <w:rPr>
          <w:color w:val="auto"/>
        </w:rPr>
      </w:pPr>
      <w:r w:rsidRPr="001F4EB6">
        <w:rPr>
          <w:color w:val="auto"/>
        </w:rPr>
        <w:t xml:space="preserve">For this specific problem, it is evident that the moving average model is more responsive than the exponential smoothing approach due the difference in weights allocation (0.25 and 0.1). </w:t>
      </w:r>
      <w:r w:rsidR="00D80FC6">
        <w:rPr>
          <w:color w:val="auto"/>
        </w:rPr>
        <w:t xml:space="preserve">The two methods have very similar errors (the errors for Moving Average are shown in Cells G14:N26; the errors for Exponential Smoothing are shown in Cells G40:N53). </w:t>
      </w:r>
      <w:r w:rsidRPr="001F4EB6">
        <w:rPr>
          <w:color w:val="auto"/>
        </w:rPr>
        <w:t>Using MAD as a measure for forecast accuracy</w:t>
      </w:r>
      <w:r w:rsidR="004F300E">
        <w:rPr>
          <w:color w:val="auto"/>
        </w:rPr>
        <w:t>,</w:t>
      </w:r>
      <w:r w:rsidRPr="001F4EB6">
        <w:rPr>
          <w:color w:val="auto"/>
        </w:rPr>
        <w:t xml:space="preserve"> it can be concluded that the moving average model (MAD = 9) is slightly more accurate than the exponential smoothing model (MAD = 10) in evaluating forecasts.  </w:t>
      </w:r>
    </w:p>
    <w:p w14:paraId="424B32C2" w14:textId="77777777" w:rsidR="00030E57" w:rsidRPr="001F4EB6" w:rsidRDefault="00030E57"/>
    <w:p w14:paraId="59E712B8" w14:textId="77777777" w:rsidR="00030E57" w:rsidRPr="001F4EB6" w:rsidRDefault="007E3700">
      <w:r w:rsidRPr="001F4EB6">
        <w:rPr>
          <w:b/>
        </w:rPr>
        <w:t xml:space="preserve">Problem </w:t>
      </w:r>
      <w:r w:rsidR="00030E57" w:rsidRPr="001F4EB6">
        <w:rPr>
          <w:b/>
        </w:rPr>
        <w:t>7-3</w:t>
      </w:r>
      <w:r w:rsidR="00030E57" w:rsidRPr="001F4EB6">
        <w:t>:</w:t>
      </w:r>
    </w:p>
    <w:p w14:paraId="10C5F94F" w14:textId="77777777" w:rsidR="00030E57" w:rsidRPr="001F4EB6" w:rsidRDefault="00030E57"/>
    <w:p w14:paraId="15FA04B9" w14:textId="5E6DA61C" w:rsidR="00030E57" w:rsidRPr="001F4EB6" w:rsidRDefault="00030E57">
      <w:r w:rsidRPr="001F4EB6">
        <w:t xml:space="preserve">The simple exponential smoothing model only considers the level component and does not include a trend component in the analysis. However, Holt’s model allows for the incorporation of the trend component into the analysis. Worksheet </w:t>
      </w:r>
      <w:r w:rsidR="00CE6F45" w:rsidRPr="00634C52">
        <w:rPr>
          <w:i/>
        </w:rPr>
        <w:t xml:space="preserve">Exercise </w:t>
      </w:r>
      <w:r w:rsidRPr="00634C52">
        <w:rPr>
          <w:i/>
        </w:rPr>
        <w:t>7-3</w:t>
      </w:r>
      <w:r w:rsidRPr="001F4EB6">
        <w:t xml:space="preserve"> provides the results of the two approaches.  </w:t>
      </w:r>
    </w:p>
    <w:p w14:paraId="3393E973" w14:textId="77777777" w:rsidR="00030E57" w:rsidRPr="001F4EB6" w:rsidRDefault="00030E57"/>
    <w:p w14:paraId="4C6FBC1D" w14:textId="2F8A5D89" w:rsidR="00030E57" w:rsidRDefault="00CE6F45">
      <w:r>
        <w:t xml:space="preserve">The forecast and errors using simple exponential smoothing </w:t>
      </w:r>
      <w:r w:rsidRPr="001F4EB6">
        <w:t>(alpha = 0.1</w:t>
      </w:r>
      <w:r>
        <w:t>) are as shown below:</w:t>
      </w:r>
    </w:p>
    <w:p w14:paraId="61EF13AC" w14:textId="4F46507D" w:rsidR="00CE6F45" w:rsidRDefault="00CE6F45"/>
    <w:p w14:paraId="578AAB51" w14:textId="42DC8371" w:rsidR="00CE6F45" w:rsidRPr="001F4EB6" w:rsidRDefault="00CE6F45" w:rsidP="00634C52">
      <w:pPr>
        <w:jc w:val="center"/>
      </w:pPr>
      <w:r w:rsidRPr="00CE6F45">
        <w:rPr>
          <w:noProof/>
          <w:lang w:eastAsia="en-US"/>
        </w:rPr>
        <w:lastRenderedPageBreak/>
        <w:drawing>
          <wp:inline distT="0" distB="0" distL="0" distR="0" wp14:anchorId="20AB6F7A" wp14:editId="4614458A">
            <wp:extent cx="4206240" cy="189280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206240" cy="1892808"/>
                    </a:xfrm>
                    <a:prstGeom prst="rect">
                      <a:avLst/>
                    </a:prstGeom>
                  </pic:spPr>
                </pic:pic>
              </a:graphicData>
            </a:graphic>
          </wp:inline>
        </w:drawing>
      </w:r>
    </w:p>
    <w:p w14:paraId="51A7509A" w14:textId="3E023F7E" w:rsidR="00CE6F45" w:rsidRDefault="00030E57">
      <w:pPr>
        <w:pStyle w:val="BodyText"/>
        <w:rPr>
          <w:color w:val="auto"/>
        </w:rPr>
      </w:pPr>
      <w:r w:rsidRPr="001F4EB6">
        <w:rPr>
          <w:color w:val="auto"/>
        </w:rPr>
        <w:t>By investigating the relationship between sales and period (shown in the above graph)</w:t>
      </w:r>
      <w:r w:rsidR="006C2D4F">
        <w:rPr>
          <w:color w:val="auto"/>
        </w:rPr>
        <w:t>,</w:t>
      </w:r>
      <w:r w:rsidRPr="001F4EB6">
        <w:rPr>
          <w:color w:val="auto"/>
        </w:rPr>
        <w:t xml:space="preserve"> it is evident that the data exhibits both random fluctuation and trend. </w:t>
      </w:r>
      <w:r w:rsidR="001B4A14" w:rsidRPr="001F4EB6">
        <w:rPr>
          <w:color w:val="auto"/>
        </w:rPr>
        <w:t>We run a linear regression between Sales and Period to estimate the initial level (intercept value) and initial trend (coefficient of X Variable 1)</w:t>
      </w:r>
      <w:r w:rsidR="00CE6F45">
        <w:rPr>
          <w:color w:val="auto"/>
        </w:rPr>
        <w:t xml:space="preserve"> for Holt’s model</w:t>
      </w:r>
      <w:r w:rsidR="001B4A14" w:rsidRPr="001F4EB6">
        <w:rPr>
          <w:color w:val="auto"/>
        </w:rPr>
        <w:t xml:space="preserve">. The initial level and trend are used as </w:t>
      </w:r>
      <w:r w:rsidR="001B4A14" w:rsidRPr="001F4EB6">
        <w:rPr>
          <w:i/>
          <w:color w:val="auto"/>
        </w:rPr>
        <w:t>L</w:t>
      </w:r>
      <w:r w:rsidR="001B4A14" w:rsidRPr="001F4EB6">
        <w:rPr>
          <w:i/>
          <w:color w:val="auto"/>
          <w:vertAlign w:val="subscript"/>
        </w:rPr>
        <w:t>0</w:t>
      </w:r>
      <w:r w:rsidR="001B4A14" w:rsidRPr="001F4EB6">
        <w:rPr>
          <w:color w:val="auto"/>
        </w:rPr>
        <w:t xml:space="preserve"> and </w:t>
      </w:r>
      <w:r w:rsidR="001B4A14" w:rsidRPr="001F4EB6">
        <w:rPr>
          <w:i/>
          <w:color w:val="auto"/>
        </w:rPr>
        <w:t>T</w:t>
      </w:r>
      <w:r w:rsidR="001B4A14" w:rsidRPr="001F4EB6">
        <w:rPr>
          <w:i/>
          <w:color w:val="auto"/>
          <w:vertAlign w:val="subscript"/>
        </w:rPr>
        <w:t>0</w:t>
      </w:r>
      <w:r w:rsidR="001B4A14" w:rsidRPr="001F4EB6">
        <w:rPr>
          <w:color w:val="auto"/>
        </w:rPr>
        <w:t xml:space="preserve"> for Holt’s model. </w:t>
      </w:r>
      <w:r w:rsidR="00CE6F45">
        <w:rPr>
          <w:color w:val="auto"/>
        </w:rPr>
        <w:t>The results using Holt’s model are as shown below:</w:t>
      </w:r>
    </w:p>
    <w:p w14:paraId="2265F091" w14:textId="77777777" w:rsidR="00CE6F45" w:rsidRDefault="00CE6F45">
      <w:pPr>
        <w:pStyle w:val="BodyText"/>
        <w:rPr>
          <w:color w:val="auto"/>
        </w:rPr>
      </w:pPr>
    </w:p>
    <w:p w14:paraId="6BE4D901" w14:textId="40E86B8F" w:rsidR="00CE6F45" w:rsidRDefault="00C615BA" w:rsidP="00634C52">
      <w:pPr>
        <w:pStyle w:val="BodyText"/>
        <w:jc w:val="center"/>
        <w:rPr>
          <w:color w:val="auto"/>
        </w:rPr>
      </w:pPr>
      <w:r w:rsidRPr="00C615BA">
        <w:rPr>
          <w:noProof/>
          <w:lang w:eastAsia="en-US"/>
        </w:rPr>
        <w:drawing>
          <wp:inline distT="0" distB="0" distL="0" distR="0" wp14:anchorId="5EEA0ADE" wp14:editId="6A23315D">
            <wp:extent cx="4352544" cy="193852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352544" cy="1938528"/>
                    </a:xfrm>
                    <a:prstGeom prst="rect">
                      <a:avLst/>
                    </a:prstGeom>
                  </pic:spPr>
                </pic:pic>
              </a:graphicData>
            </a:graphic>
          </wp:inline>
        </w:drawing>
      </w:r>
    </w:p>
    <w:p w14:paraId="2F732E0F" w14:textId="77777777" w:rsidR="00C615BA" w:rsidRDefault="00C615BA">
      <w:pPr>
        <w:pStyle w:val="BodyText"/>
        <w:rPr>
          <w:color w:val="auto"/>
        </w:rPr>
      </w:pPr>
    </w:p>
    <w:p w14:paraId="45B6FEBE" w14:textId="3BCABDEC" w:rsidR="00030E57" w:rsidRPr="001F4EB6" w:rsidRDefault="00EF4E61">
      <w:pPr>
        <w:pStyle w:val="BodyText"/>
        <w:rPr>
          <w:color w:val="auto"/>
        </w:rPr>
      </w:pPr>
      <w:r w:rsidRPr="001F4EB6">
        <w:rPr>
          <w:color w:val="auto"/>
        </w:rPr>
        <w:t>Given the obvious trend in the data</w:t>
      </w:r>
      <w:r w:rsidR="00030E57" w:rsidRPr="001F4EB6">
        <w:rPr>
          <w:color w:val="auto"/>
        </w:rPr>
        <w:t xml:space="preserve">, it is not surprising in the analysis that Holt’s model (alpha = 0.1, beta = 0.1, MAD = 8) is a better approach than the simple exponential smoothing model (alpha = 0.1, MAD = 21).  </w:t>
      </w:r>
    </w:p>
    <w:p w14:paraId="185794D2" w14:textId="77777777" w:rsidR="00030E57" w:rsidRPr="001F4EB6" w:rsidRDefault="00030E57">
      <w:pPr>
        <w:pStyle w:val="BodyText"/>
        <w:rPr>
          <w:color w:val="auto"/>
        </w:rPr>
      </w:pPr>
    </w:p>
    <w:p w14:paraId="1C7828D1" w14:textId="77777777" w:rsidR="00155172" w:rsidRDefault="00155172">
      <w:pPr>
        <w:rPr>
          <w:b/>
        </w:rPr>
      </w:pPr>
      <w:r>
        <w:rPr>
          <w:b/>
        </w:rPr>
        <w:br w:type="page"/>
      </w:r>
    </w:p>
    <w:p w14:paraId="72F4EEF0" w14:textId="60183A0F" w:rsidR="00030E57" w:rsidRPr="001F4EB6" w:rsidRDefault="007E3700">
      <w:pPr>
        <w:pStyle w:val="BodyText"/>
        <w:rPr>
          <w:color w:val="auto"/>
        </w:rPr>
      </w:pPr>
      <w:r w:rsidRPr="001F4EB6">
        <w:rPr>
          <w:b/>
          <w:color w:val="auto"/>
        </w:rPr>
        <w:lastRenderedPageBreak/>
        <w:t>Problem</w:t>
      </w:r>
      <w:r w:rsidR="00030E57" w:rsidRPr="001F4EB6">
        <w:rPr>
          <w:b/>
          <w:color w:val="auto"/>
        </w:rPr>
        <w:t xml:space="preserve"> 7-4</w:t>
      </w:r>
      <w:r w:rsidR="00030E57" w:rsidRPr="001F4EB6">
        <w:rPr>
          <w:color w:val="auto"/>
        </w:rPr>
        <w:t>:</w:t>
      </w:r>
    </w:p>
    <w:p w14:paraId="397F654C" w14:textId="77777777" w:rsidR="00030E57" w:rsidRPr="001F4EB6" w:rsidRDefault="00030E57">
      <w:pPr>
        <w:pStyle w:val="BodyText"/>
        <w:rPr>
          <w:color w:val="auto"/>
        </w:rPr>
      </w:pPr>
    </w:p>
    <w:p w14:paraId="0205CC28" w14:textId="23A0B2C8" w:rsidR="00220DAA" w:rsidRDefault="00030E57">
      <w:pPr>
        <w:pStyle w:val="BodyText"/>
        <w:rPr>
          <w:color w:val="auto"/>
        </w:rPr>
      </w:pPr>
      <w:r w:rsidRPr="001F4EB6">
        <w:rPr>
          <w:color w:val="auto"/>
        </w:rPr>
        <w:t xml:space="preserve">Worksheet </w:t>
      </w:r>
      <w:r w:rsidR="00737723" w:rsidRPr="00634C52">
        <w:rPr>
          <w:i/>
          <w:color w:val="auto"/>
        </w:rPr>
        <w:t xml:space="preserve">Exercise </w:t>
      </w:r>
      <w:r w:rsidRPr="00634C52">
        <w:rPr>
          <w:i/>
          <w:color w:val="auto"/>
        </w:rPr>
        <w:t>7-4</w:t>
      </w:r>
      <w:r w:rsidRPr="001F4EB6">
        <w:rPr>
          <w:color w:val="auto"/>
        </w:rPr>
        <w:t xml:space="preserve"> evaluates demand forecasts for the ABC </w:t>
      </w:r>
      <w:r w:rsidR="00D07340" w:rsidRPr="001F4EB6">
        <w:rPr>
          <w:color w:val="auto"/>
        </w:rPr>
        <w:t>Corporation</w:t>
      </w:r>
      <w:r w:rsidRPr="001F4EB6">
        <w:rPr>
          <w:color w:val="auto"/>
        </w:rPr>
        <w:t xml:space="preserve"> using moving average</w:t>
      </w:r>
      <w:r w:rsidR="00220DAA">
        <w:rPr>
          <w:color w:val="auto"/>
        </w:rPr>
        <w:t xml:space="preserve"> (see sheet </w:t>
      </w:r>
      <w:r w:rsidR="00220DAA">
        <w:rPr>
          <w:i/>
          <w:color w:val="auto"/>
        </w:rPr>
        <w:t>MovingAverage</w:t>
      </w:r>
      <w:r w:rsidR="00220DAA">
        <w:rPr>
          <w:color w:val="auto"/>
        </w:rPr>
        <w:t>)</w:t>
      </w:r>
      <w:r w:rsidRPr="001F4EB6">
        <w:rPr>
          <w:color w:val="auto"/>
        </w:rPr>
        <w:t>, simple exponential smoothing</w:t>
      </w:r>
      <w:r w:rsidR="00220DAA">
        <w:rPr>
          <w:color w:val="auto"/>
        </w:rPr>
        <w:t xml:space="preserve"> (see sheet </w:t>
      </w:r>
      <w:r w:rsidR="00220DAA">
        <w:rPr>
          <w:i/>
          <w:color w:val="auto"/>
        </w:rPr>
        <w:t>ExponentialSmoothing</w:t>
      </w:r>
      <w:r w:rsidR="00220DAA">
        <w:rPr>
          <w:color w:val="auto"/>
        </w:rPr>
        <w:t>)</w:t>
      </w:r>
      <w:r w:rsidRPr="001F4EB6">
        <w:rPr>
          <w:color w:val="auto"/>
        </w:rPr>
        <w:t>, Holt’s model</w:t>
      </w:r>
      <w:r w:rsidR="00220DAA">
        <w:rPr>
          <w:color w:val="auto"/>
        </w:rPr>
        <w:t xml:space="preserve"> (see sheet </w:t>
      </w:r>
      <w:r w:rsidR="00220DAA">
        <w:rPr>
          <w:i/>
          <w:color w:val="auto"/>
        </w:rPr>
        <w:t>Holt’sModel</w:t>
      </w:r>
      <w:r w:rsidR="00220DAA">
        <w:rPr>
          <w:color w:val="auto"/>
        </w:rPr>
        <w:t>)</w:t>
      </w:r>
      <w:r w:rsidRPr="001F4EB6">
        <w:rPr>
          <w:color w:val="auto"/>
        </w:rPr>
        <w:t>, and Winter’s model</w:t>
      </w:r>
      <w:r w:rsidR="00220DAA">
        <w:rPr>
          <w:color w:val="auto"/>
        </w:rPr>
        <w:t xml:space="preserve"> (see sheet </w:t>
      </w:r>
      <w:r w:rsidR="00220DAA">
        <w:rPr>
          <w:i/>
          <w:color w:val="auto"/>
        </w:rPr>
        <w:t>Winter’sModel</w:t>
      </w:r>
      <w:r w:rsidR="00220DAA">
        <w:rPr>
          <w:color w:val="auto"/>
        </w:rPr>
        <w:t>)</w:t>
      </w:r>
      <w:r w:rsidRPr="001F4EB6">
        <w:rPr>
          <w:color w:val="auto"/>
        </w:rPr>
        <w:t xml:space="preserve">. Note that solver is utilized for simple exponential smoothing, Holt’s and Winter’s models in determining the optimal values for the smoothing constants by minimizing the MAD subject to the constraint that the smoothing constant values are </w:t>
      </w:r>
      <w:r w:rsidRPr="001F4EB6">
        <w:rPr>
          <w:color w:val="auto"/>
          <w:u w:val="single"/>
        </w:rPr>
        <w:t>&lt;</w:t>
      </w:r>
      <w:r w:rsidRPr="001F4EB6">
        <w:rPr>
          <w:color w:val="auto"/>
        </w:rPr>
        <w:t xml:space="preserve"> 1. </w:t>
      </w:r>
      <w:r w:rsidR="00220DAA">
        <w:rPr>
          <w:color w:val="auto"/>
        </w:rPr>
        <w:t>The forecasts for Year 6 using the various methods are as in the Table below:</w:t>
      </w:r>
    </w:p>
    <w:p w14:paraId="4AA6464E" w14:textId="48C2ABD2" w:rsidR="00155172" w:rsidRDefault="00155172"/>
    <w:p w14:paraId="0F9EF48B" w14:textId="77777777" w:rsidR="00220DAA" w:rsidRDefault="00220DAA">
      <w:pPr>
        <w:pStyle w:val="BodyText"/>
        <w:rPr>
          <w:color w:val="auto"/>
        </w:rPr>
      </w:pPr>
    </w:p>
    <w:tbl>
      <w:tblPr>
        <w:tblStyle w:val="TableGrid"/>
        <w:tblW w:w="0" w:type="auto"/>
        <w:tblLook w:val="04A0" w:firstRow="1" w:lastRow="0" w:firstColumn="1" w:lastColumn="0" w:noHBand="0" w:noVBand="1"/>
      </w:tblPr>
      <w:tblGrid>
        <w:gridCol w:w="1476"/>
        <w:gridCol w:w="1476"/>
        <w:gridCol w:w="1476"/>
        <w:gridCol w:w="1476"/>
        <w:gridCol w:w="1476"/>
      </w:tblGrid>
      <w:tr w:rsidR="00155172" w14:paraId="1B4464A9" w14:textId="77777777" w:rsidTr="00634C52">
        <w:tc>
          <w:tcPr>
            <w:tcW w:w="1476" w:type="dxa"/>
          </w:tcPr>
          <w:p w14:paraId="1BE3AB33" w14:textId="42E27634" w:rsidR="00155172" w:rsidRDefault="00155172">
            <w:pPr>
              <w:pStyle w:val="BodyText"/>
              <w:rPr>
                <w:color w:val="auto"/>
              </w:rPr>
            </w:pPr>
            <w:r>
              <w:rPr>
                <w:color w:val="auto"/>
              </w:rPr>
              <w:t>Month</w:t>
            </w:r>
          </w:p>
        </w:tc>
        <w:tc>
          <w:tcPr>
            <w:tcW w:w="1476" w:type="dxa"/>
            <w:tcBorders>
              <w:bottom w:val="single" w:sz="4" w:space="0" w:color="auto"/>
            </w:tcBorders>
          </w:tcPr>
          <w:p w14:paraId="082B9341" w14:textId="54F2E339" w:rsidR="00155172" w:rsidRDefault="00155172">
            <w:pPr>
              <w:pStyle w:val="BodyText"/>
              <w:rPr>
                <w:color w:val="auto"/>
              </w:rPr>
            </w:pPr>
            <w:r>
              <w:rPr>
                <w:color w:val="auto"/>
              </w:rPr>
              <w:t>Moving Average</w:t>
            </w:r>
          </w:p>
        </w:tc>
        <w:tc>
          <w:tcPr>
            <w:tcW w:w="1476" w:type="dxa"/>
            <w:tcBorders>
              <w:bottom w:val="single" w:sz="4" w:space="0" w:color="auto"/>
            </w:tcBorders>
          </w:tcPr>
          <w:p w14:paraId="0ABCE248" w14:textId="62F31B3D" w:rsidR="00155172" w:rsidRDefault="00155172">
            <w:pPr>
              <w:pStyle w:val="BodyText"/>
              <w:rPr>
                <w:color w:val="auto"/>
              </w:rPr>
            </w:pPr>
            <w:r>
              <w:rPr>
                <w:color w:val="auto"/>
              </w:rPr>
              <w:t>Simple Exponential Smoothing</w:t>
            </w:r>
          </w:p>
        </w:tc>
        <w:tc>
          <w:tcPr>
            <w:tcW w:w="1476" w:type="dxa"/>
            <w:tcBorders>
              <w:bottom w:val="single" w:sz="4" w:space="0" w:color="auto"/>
            </w:tcBorders>
          </w:tcPr>
          <w:p w14:paraId="0B41AA71" w14:textId="60845CBC" w:rsidR="00155172" w:rsidRDefault="00155172">
            <w:pPr>
              <w:pStyle w:val="BodyText"/>
              <w:rPr>
                <w:color w:val="auto"/>
              </w:rPr>
            </w:pPr>
            <w:r>
              <w:rPr>
                <w:color w:val="auto"/>
              </w:rPr>
              <w:t>Holt’s Model</w:t>
            </w:r>
          </w:p>
        </w:tc>
        <w:tc>
          <w:tcPr>
            <w:tcW w:w="1476" w:type="dxa"/>
            <w:tcBorders>
              <w:bottom w:val="single" w:sz="4" w:space="0" w:color="auto"/>
            </w:tcBorders>
          </w:tcPr>
          <w:p w14:paraId="7134730F" w14:textId="2D5B46C3" w:rsidR="00155172" w:rsidRDefault="00155172">
            <w:pPr>
              <w:pStyle w:val="BodyText"/>
              <w:rPr>
                <w:color w:val="auto"/>
              </w:rPr>
            </w:pPr>
            <w:r>
              <w:rPr>
                <w:color w:val="auto"/>
              </w:rPr>
              <w:t>Winter’s Model</w:t>
            </w:r>
          </w:p>
        </w:tc>
      </w:tr>
      <w:tr w:rsidR="00155172" w14:paraId="030186D4" w14:textId="77777777" w:rsidTr="00634C52">
        <w:tc>
          <w:tcPr>
            <w:tcW w:w="1476" w:type="dxa"/>
          </w:tcPr>
          <w:p w14:paraId="29D67193" w14:textId="33CD80C5" w:rsidR="00155172" w:rsidRDefault="00155172" w:rsidP="00730C86">
            <w:pPr>
              <w:pStyle w:val="BodyText"/>
              <w:rPr>
                <w:color w:val="auto"/>
              </w:rPr>
            </w:pPr>
            <w:r>
              <w:rPr>
                <w:color w:val="auto"/>
              </w:rPr>
              <w:t>January</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22CFE780" w14:textId="3D24C61F" w:rsidR="00155172" w:rsidRDefault="00155172" w:rsidP="00730C86">
            <w:pPr>
              <w:pStyle w:val="BodyText"/>
              <w:rPr>
                <w:color w:val="auto"/>
              </w:rPr>
            </w:pPr>
            <w:r>
              <w:rPr>
                <w:rFonts w:ascii="Arial" w:hAnsi="Arial" w:cs="Arial"/>
                <w:b/>
                <w:bCs/>
                <w:color w:val="FF0000"/>
                <w:sz w:val="20"/>
                <w:szCs w:val="20"/>
              </w:rPr>
              <w:t xml:space="preserve">     9,417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1CF0DDD6" w14:textId="18A35345" w:rsidR="00155172" w:rsidRDefault="00155172" w:rsidP="00730C86">
            <w:pPr>
              <w:pStyle w:val="BodyText"/>
              <w:rPr>
                <w:color w:val="auto"/>
              </w:rPr>
            </w:pPr>
            <w:r>
              <w:rPr>
                <w:rFonts w:ascii="Arial" w:hAnsi="Arial" w:cs="Arial"/>
                <w:b/>
                <w:bCs/>
                <w:color w:val="FF0000"/>
                <w:sz w:val="20"/>
                <w:szCs w:val="20"/>
              </w:rPr>
              <w:t xml:space="preserve">     8,000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5F7B2764" w14:textId="3ECFB8BE" w:rsidR="00155172" w:rsidRDefault="00155172" w:rsidP="00730C86">
            <w:pPr>
              <w:pStyle w:val="BodyText"/>
              <w:rPr>
                <w:color w:val="auto"/>
              </w:rPr>
            </w:pPr>
            <w:r>
              <w:rPr>
                <w:rFonts w:ascii="Arial" w:hAnsi="Arial" w:cs="Arial"/>
                <w:b/>
                <w:bCs/>
                <w:color w:val="FF0000"/>
                <w:sz w:val="20"/>
                <w:szCs w:val="20"/>
              </w:rPr>
              <w:t xml:space="preserve">     8,170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12A32091" w14:textId="2E096A3D" w:rsidR="00155172" w:rsidRDefault="00155172" w:rsidP="00730C86">
            <w:pPr>
              <w:pStyle w:val="BodyText"/>
              <w:rPr>
                <w:color w:val="auto"/>
              </w:rPr>
            </w:pPr>
            <w:r>
              <w:rPr>
                <w:rFonts w:ascii="Arial" w:hAnsi="Arial" w:cs="Arial"/>
                <w:b/>
                <w:bCs/>
                <w:color w:val="FF0000"/>
                <w:sz w:val="20"/>
                <w:szCs w:val="20"/>
              </w:rPr>
              <w:t xml:space="preserve">     4,420 </w:t>
            </w:r>
          </w:p>
        </w:tc>
      </w:tr>
      <w:tr w:rsidR="00155172" w14:paraId="3AC33785" w14:textId="77777777" w:rsidTr="00634C52">
        <w:tc>
          <w:tcPr>
            <w:tcW w:w="1476" w:type="dxa"/>
          </w:tcPr>
          <w:p w14:paraId="6C9E1E66" w14:textId="3F81AD84" w:rsidR="00155172" w:rsidRDefault="00155172" w:rsidP="00730C86">
            <w:pPr>
              <w:pStyle w:val="BodyText"/>
              <w:rPr>
                <w:color w:val="auto"/>
              </w:rPr>
            </w:pPr>
            <w:r>
              <w:rPr>
                <w:color w:val="auto"/>
              </w:rPr>
              <w:t>February</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09010F6B" w14:textId="46D1708C" w:rsidR="00155172" w:rsidRDefault="00155172" w:rsidP="00730C86">
            <w:pPr>
              <w:pStyle w:val="BodyText"/>
              <w:rPr>
                <w:color w:val="auto"/>
              </w:rPr>
            </w:pPr>
            <w:r>
              <w:rPr>
                <w:rFonts w:ascii="Arial" w:hAnsi="Arial" w:cs="Arial"/>
                <w:b/>
                <w:bCs/>
                <w:color w:val="FF0000"/>
                <w:sz w:val="20"/>
                <w:szCs w:val="20"/>
              </w:rPr>
              <w:t xml:space="preserve">     9,417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08B936B2" w14:textId="4CBE4C24" w:rsidR="00155172" w:rsidRDefault="00155172" w:rsidP="00730C86">
            <w:pPr>
              <w:pStyle w:val="BodyText"/>
              <w:rPr>
                <w:color w:val="auto"/>
              </w:rPr>
            </w:pPr>
            <w:r>
              <w:rPr>
                <w:rFonts w:ascii="Arial" w:hAnsi="Arial" w:cs="Arial"/>
                <w:b/>
                <w:bCs/>
                <w:color w:val="FF0000"/>
                <w:sz w:val="20"/>
                <w:szCs w:val="20"/>
              </w:rPr>
              <w:t xml:space="preserve">     8,000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4473EE54" w14:textId="41EF259E" w:rsidR="00155172" w:rsidRDefault="00155172" w:rsidP="00730C86">
            <w:pPr>
              <w:pStyle w:val="BodyText"/>
              <w:rPr>
                <w:color w:val="auto"/>
              </w:rPr>
            </w:pPr>
            <w:r>
              <w:rPr>
                <w:rFonts w:ascii="Arial" w:hAnsi="Arial" w:cs="Arial"/>
                <w:b/>
                <w:bCs/>
                <w:color w:val="FF0000"/>
                <w:sz w:val="20"/>
                <w:szCs w:val="20"/>
              </w:rPr>
              <w:t xml:space="preserve">     8,240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2E8AF80A" w14:textId="3A3D7702" w:rsidR="00155172" w:rsidRDefault="00155172" w:rsidP="00730C86">
            <w:pPr>
              <w:pStyle w:val="BodyText"/>
              <w:rPr>
                <w:color w:val="auto"/>
              </w:rPr>
            </w:pPr>
            <w:r>
              <w:rPr>
                <w:rFonts w:ascii="Arial" w:hAnsi="Arial" w:cs="Arial"/>
                <w:b/>
                <w:bCs/>
                <w:color w:val="FF0000"/>
                <w:sz w:val="20"/>
                <w:szCs w:val="20"/>
              </w:rPr>
              <w:t xml:space="preserve">     4,949 </w:t>
            </w:r>
          </w:p>
        </w:tc>
      </w:tr>
      <w:tr w:rsidR="00155172" w14:paraId="63212EAC" w14:textId="77777777" w:rsidTr="00634C52">
        <w:tc>
          <w:tcPr>
            <w:tcW w:w="1476" w:type="dxa"/>
          </w:tcPr>
          <w:p w14:paraId="6E35C33A" w14:textId="5BD56513" w:rsidR="00155172" w:rsidRDefault="00155172" w:rsidP="00730C86">
            <w:pPr>
              <w:pStyle w:val="BodyText"/>
              <w:rPr>
                <w:color w:val="auto"/>
              </w:rPr>
            </w:pPr>
            <w:r>
              <w:rPr>
                <w:color w:val="auto"/>
              </w:rPr>
              <w:t>March</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1F8F8713" w14:textId="6BD78A2A" w:rsidR="00155172" w:rsidRDefault="00155172" w:rsidP="00730C86">
            <w:pPr>
              <w:pStyle w:val="BodyText"/>
              <w:rPr>
                <w:color w:val="auto"/>
              </w:rPr>
            </w:pPr>
            <w:r>
              <w:rPr>
                <w:rFonts w:ascii="Arial" w:hAnsi="Arial" w:cs="Arial"/>
                <w:b/>
                <w:bCs/>
                <w:color w:val="FF0000"/>
                <w:sz w:val="20"/>
                <w:szCs w:val="20"/>
              </w:rPr>
              <w:t xml:space="preserve">     9,417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603DB93E" w14:textId="3B7BE542" w:rsidR="00155172" w:rsidRDefault="00155172" w:rsidP="00730C86">
            <w:pPr>
              <w:pStyle w:val="BodyText"/>
              <w:rPr>
                <w:color w:val="auto"/>
              </w:rPr>
            </w:pPr>
            <w:r>
              <w:rPr>
                <w:rFonts w:ascii="Arial" w:hAnsi="Arial" w:cs="Arial"/>
                <w:b/>
                <w:bCs/>
                <w:color w:val="FF0000"/>
                <w:sz w:val="20"/>
                <w:szCs w:val="20"/>
              </w:rPr>
              <w:t xml:space="preserve">     8,000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3AF87B75" w14:textId="0E82FB03" w:rsidR="00155172" w:rsidRDefault="00155172" w:rsidP="00730C86">
            <w:pPr>
              <w:pStyle w:val="BodyText"/>
              <w:rPr>
                <w:color w:val="auto"/>
              </w:rPr>
            </w:pPr>
            <w:r>
              <w:rPr>
                <w:rFonts w:ascii="Arial" w:hAnsi="Arial" w:cs="Arial"/>
                <w:b/>
                <w:bCs/>
                <w:color w:val="FF0000"/>
                <w:sz w:val="20"/>
                <w:szCs w:val="20"/>
              </w:rPr>
              <w:t xml:space="preserve">     8,310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69A4FB9D" w14:textId="630B6130" w:rsidR="00155172" w:rsidRDefault="00155172" w:rsidP="00730C86">
            <w:pPr>
              <w:pStyle w:val="BodyText"/>
              <w:rPr>
                <w:color w:val="auto"/>
              </w:rPr>
            </w:pPr>
            <w:r>
              <w:rPr>
                <w:rFonts w:ascii="Arial" w:hAnsi="Arial" w:cs="Arial"/>
                <w:b/>
                <w:bCs/>
                <w:color w:val="FF0000"/>
                <w:sz w:val="20"/>
                <w:szCs w:val="20"/>
              </w:rPr>
              <w:t xml:space="preserve">     4,856 </w:t>
            </w:r>
          </w:p>
        </w:tc>
      </w:tr>
      <w:tr w:rsidR="00155172" w14:paraId="7AE32AED" w14:textId="77777777" w:rsidTr="00634C52">
        <w:tc>
          <w:tcPr>
            <w:tcW w:w="1476" w:type="dxa"/>
          </w:tcPr>
          <w:p w14:paraId="0B087798" w14:textId="60EBA5B4" w:rsidR="00155172" w:rsidRDefault="00155172" w:rsidP="00730C86">
            <w:pPr>
              <w:pStyle w:val="BodyText"/>
              <w:rPr>
                <w:color w:val="auto"/>
              </w:rPr>
            </w:pPr>
            <w:r>
              <w:rPr>
                <w:color w:val="auto"/>
              </w:rPr>
              <w:t>April</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5EE0C667" w14:textId="46DC6F42" w:rsidR="00155172" w:rsidRDefault="00155172" w:rsidP="00730C86">
            <w:pPr>
              <w:pStyle w:val="BodyText"/>
              <w:rPr>
                <w:color w:val="auto"/>
              </w:rPr>
            </w:pPr>
            <w:r>
              <w:rPr>
                <w:rFonts w:ascii="Arial" w:hAnsi="Arial" w:cs="Arial"/>
                <w:b/>
                <w:bCs/>
                <w:color w:val="FF0000"/>
                <w:sz w:val="20"/>
                <w:szCs w:val="20"/>
              </w:rPr>
              <w:t xml:space="preserve">     9,417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7028427E" w14:textId="1B16E933" w:rsidR="00155172" w:rsidRDefault="00155172" w:rsidP="00730C86">
            <w:pPr>
              <w:pStyle w:val="BodyText"/>
              <w:rPr>
                <w:color w:val="auto"/>
              </w:rPr>
            </w:pPr>
            <w:r>
              <w:rPr>
                <w:rFonts w:ascii="Arial" w:hAnsi="Arial" w:cs="Arial"/>
                <w:b/>
                <w:bCs/>
                <w:color w:val="FF0000"/>
                <w:sz w:val="20"/>
                <w:szCs w:val="20"/>
              </w:rPr>
              <w:t xml:space="preserve">     8,000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538BDD40" w14:textId="51E4690C" w:rsidR="00155172" w:rsidRDefault="00155172" w:rsidP="00730C86">
            <w:pPr>
              <w:pStyle w:val="BodyText"/>
              <w:rPr>
                <w:color w:val="auto"/>
              </w:rPr>
            </w:pPr>
            <w:r>
              <w:rPr>
                <w:rFonts w:ascii="Arial" w:hAnsi="Arial" w:cs="Arial"/>
                <w:b/>
                <w:bCs/>
                <w:color w:val="FF0000"/>
                <w:sz w:val="20"/>
                <w:szCs w:val="20"/>
              </w:rPr>
              <w:t xml:space="preserve">     8,380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37B3B54B" w14:textId="469C69FF" w:rsidR="00155172" w:rsidRDefault="00155172" w:rsidP="00730C86">
            <w:pPr>
              <w:pStyle w:val="BodyText"/>
              <w:rPr>
                <w:color w:val="auto"/>
              </w:rPr>
            </w:pPr>
            <w:r>
              <w:rPr>
                <w:rFonts w:ascii="Arial" w:hAnsi="Arial" w:cs="Arial"/>
                <w:b/>
                <w:bCs/>
                <w:color w:val="FF0000"/>
                <w:sz w:val="20"/>
                <w:szCs w:val="20"/>
              </w:rPr>
              <w:t xml:space="preserve">     4,207 </w:t>
            </w:r>
          </w:p>
        </w:tc>
      </w:tr>
      <w:tr w:rsidR="00155172" w14:paraId="564892D9" w14:textId="77777777" w:rsidTr="00634C52">
        <w:tc>
          <w:tcPr>
            <w:tcW w:w="1476" w:type="dxa"/>
          </w:tcPr>
          <w:p w14:paraId="77F2C912" w14:textId="37380562" w:rsidR="00155172" w:rsidRDefault="00155172" w:rsidP="00730C86">
            <w:pPr>
              <w:pStyle w:val="BodyText"/>
              <w:rPr>
                <w:color w:val="auto"/>
              </w:rPr>
            </w:pPr>
            <w:r>
              <w:rPr>
                <w:color w:val="auto"/>
              </w:rPr>
              <w:t>May</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3818A4DC" w14:textId="11A51683" w:rsidR="00155172" w:rsidRDefault="00155172" w:rsidP="00730C86">
            <w:pPr>
              <w:pStyle w:val="BodyText"/>
              <w:rPr>
                <w:color w:val="auto"/>
              </w:rPr>
            </w:pPr>
            <w:r>
              <w:rPr>
                <w:rFonts w:ascii="Arial" w:hAnsi="Arial" w:cs="Arial"/>
                <w:b/>
                <w:bCs/>
                <w:color w:val="FF0000"/>
                <w:sz w:val="20"/>
                <w:szCs w:val="20"/>
              </w:rPr>
              <w:t xml:space="preserve">     9,417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2479665D" w14:textId="58FD034C" w:rsidR="00155172" w:rsidRDefault="00155172" w:rsidP="00730C86">
            <w:pPr>
              <w:pStyle w:val="BodyText"/>
              <w:rPr>
                <w:color w:val="auto"/>
              </w:rPr>
            </w:pPr>
            <w:r>
              <w:rPr>
                <w:rFonts w:ascii="Arial" w:hAnsi="Arial" w:cs="Arial"/>
                <w:b/>
                <w:bCs/>
                <w:color w:val="FF0000"/>
                <w:sz w:val="20"/>
                <w:szCs w:val="20"/>
              </w:rPr>
              <w:t xml:space="preserve">     8,000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6058BA7A" w14:textId="429ECBB9" w:rsidR="00155172" w:rsidRDefault="00155172" w:rsidP="00730C86">
            <w:pPr>
              <w:pStyle w:val="BodyText"/>
              <w:rPr>
                <w:color w:val="auto"/>
              </w:rPr>
            </w:pPr>
            <w:r>
              <w:rPr>
                <w:rFonts w:ascii="Arial" w:hAnsi="Arial" w:cs="Arial"/>
                <w:b/>
                <w:bCs/>
                <w:color w:val="FF0000"/>
                <w:sz w:val="20"/>
                <w:szCs w:val="20"/>
              </w:rPr>
              <w:t xml:space="preserve">     8,451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46F6B91B" w14:textId="799B2344" w:rsidR="00155172" w:rsidRDefault="00155172" w:rsidP="00730C86">
            <w:pPr>
              <w:pStyle w:val="BodyText"/>
              <w:rPr>
                <w:color w:val="auto"/>
              </w:rPr>
            </w:pPr>
            <w:r>
              <w:rPr>
                <w:rFonts w:ascii="Arial" w:hAnsi="Arial" w:cs="Arial"/>
                <w:b/>
                <w:bCs/>
                <w:color w:val="FF0000"/>
                <w:sz w:val="20"/>
                <w:szCs w:val="20"/>
              </w:rPr>
              <w:t xml:space="preserve">     6,607 </w:t>
            </w:r>
          </w:p>
        </w:tc>
      </w:tr>
      <w:tr w:rsidR="00155172" w14:paraId="61A8E88D" w14:textId="77777777" w:rsidTr="00634C52">
        <w:tc>
          <w:tcPr>
            <w:tcW w:w="1476" w:type="dxa"/>
          </w:tcPr>
          <w:p w14:paraId="393675C9" w14:textId="490958A8" w:rsidR="00155172" w:rsidRDefault="00155172" w:rsidP="00730C86">
            <w:pPr>
              <w:pStyle w:val="BodyText"/>
              <w:rPr>
                <w:color w:val="auto"/>
              </w:rPr>
            </w:pPr>
            <w:r>
              <w:rPr>
                <w:color w:val="auto"/>
              </w:rPr>
              <w:t>June</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79518086" w14:textId="055D69C6" w:rsidR="00155172" w:rsidRDefault="00155172" w:rsidP="00730C86">
            <w:pPr>
              <w:pStyle w:val="BodyText"/>
              <w:rPr>
                <w:color w:val="auto"/>
              </w:rPr>
            </w:pPr>
            <w:r>
              <w:rPr>
                <w:rFonts w:ascii="Arial" w:hAnsi="Arial" w:cs="Arial"/>
                <w:b/>
                <w:bCs/>
                <w:color w:val="FF0000"/>
                <w:sz w:val="20"/>
                <w:szCs w:val="20"/>
              </w:rPr>
              <w:t xml:space="preserve">     9,417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46BC9315" w14:textId="7D74562B" w:rsidR="00155172" w:rsidRDefault="00155172" w:rsidP="00730C86">
            <w:pPr>
              <w:pStyle w:val="BodyText"/>
              <w:rPr>
                <w:color w:val="auto"/>
              </w:rPr>
            </w:pPr>
            <w:r>
              <w:rPr>
                <w:rFonts w:ascii="Arial" w:hAnsi="Arial" w:cs="Arial"/>
                <w:b/>
                <w:bCs/>
                <w:color w:val="FF0000"/>
                <w:sz w:val="20"/>
                <w:szCs w:val="20"/>
              </w:rPr>
              <w:t xml:space="preserve">     8,000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4B6376F4" w14:textId="60FA544B" w:rsidR="00155172" w:rsidRDefault="00155172" w:rsidP="00730C86">
            <w:pPr>
              <w:pStyle w:val="BodyText"/>
              <w:rPr>
                <w:color w:val="auto"/>
              </w:rPr>
            </w:pPr>
            <w:r>
              <w:rPr>
                <w:rFonts w:ascii="Arial" w:hAnsi="Arial" w:cs="Arial"/>
                <w:b/>
                <w:bCs/>
                <w:color w:val="FF0000"/>
                <w:sz w:val="20"/>
                <w:szCs w:val="20"/>
              </w:rPr>
              <w:t xml:space="preserve">     8,521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41D73ED0" w14:textId="4FA4DA6B" w:rsidR="00155172" w:rsidRDefault="00155172" w:rsidP="00730C86">
            <w:pPr>
              <w:pStyle w:val="BodyText"/>
              <w:rPr>
                <w:color w:val="auto"/>
              </w:rPr>
            </w:pPr>
            <w:r>
              <w:rPr>
                <w:rFonts w:ascii="Arial" w:hAnsi="Arial" w:cs="Arial"/>
                <w:b/>
                <w:bCs/>
                <w:color w:val="FF0000"/>
                <w:sz w:val="20"/>
                <w:szCs w:val="20"/>
              </w:rPr>
              <w:t xml:space="preserve">     8,929 </w:t>
            </w:r>
          </w:p>
        </w:tc>
      </w:tr>
      <w:tr w:rsidR="00155172" w14:paraId="639F717F" w14:textId="77777777" w:rsidTr="00634C52">
        <w:tc>
          <w:tcPr>
            <w:tcW w:w="1476" w:type="dxa"/>
          </w:tcPr>
          <w:p w14:paraId="27EE53D9" w14:textId="58219266" w:rsidR="00155172" w:rsidRDefault="00155172" w:rsidP="00730C86">
            <w:pPr>
              <w:pStyle w:val="BodyText"/>
              <w:rPr>
                <w:color w:val="auto"/>
              </w:rPr>
            </w:pPr>
            <w:r>
              <w:rPr>
                <w:color w:val="auto"/>
              </w:rPr>
              <w:t>July</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7D137183" w14:textId="6BAF7DA9" w:rsidR="00155172" w:rsidRDefault="00155172" w:rsidP="00730C86">
            <w:pPr>
              <w:pStyle w:val="BodyText"/>
              <w:rPr>
                <w:color w:val="auto"/>
              </w:rPr>
            </w:pPr>
            <w:r>
              <w:rPr>
                <w:rFonts w:ascii="Arial" w:hAnsi="Arial" w:cs="Arial"/>
                <w:b/>
                <w:bCs/>
                <w:color w:val="FF0000"/>
                <w:sz w:val="20"/>
                <w:szCs w:val="20"/>
              </w:rPr>
              <w:t xml:space="preserve">     9,417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6DF6ABF1" w14:textId="731AAE79" w:rsidR="00155172" w:rsidRDefault="00155172" w:rsidP="00730C86">
            <w:pPr>
              <w:pStyle w:val="BodyText"/>
              <w:rPr>
                <w:color w:val="auto"/>
              </w:rPr>
            </w:pPr>
            <w:r>
              <w:rPr>
                <w:rFonts w:ascii="Arial" w:hAnsi="Arial" w:cs="Arial"/>
                <w:b/>
                <w:bCs/>
                <w:color w:val="FF0000"/>
                <w:sz w:val="20"/>
                <w:szCs w:val="20"/>
              </w:rPr>
              <w:t xml:space="preserve">     8,000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2B2F3869" w14:textId="7E80A426" w:rsidR="00155172" w:rsidRDefault="00155172" w:rsidP="00730C86">
            <w:pPr>
              <w:pStyle w:val="BodyText"/>
              <w:rPr>
                <w:color w:val="auto"/>
              </w:rPr>
            </w:pPr>
            <w:r>
              <w:rPr>
                <w:rFonts w:ascii="Arial" w:hAnsi="Arial" w:cs="Arial"/>
                <w:b/>
                <w:bCs/>
                <w:color w:val="FF0000"/>
                <w:sz w:val="20"/>
                <w:szCs w:val="20"/>
              </w:rPr>
              <w:t xml:space="preserve">     8,591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4D93D15C" w14:textId="025C1850" w:rsidR="00155172" w:rsidRDefault="00155172" w:rsidP="00730C86">
            <w:pPr>
              <w:pStyle w:val="BodyText"/>
              <w:rPr>
                <w:color w:val="auto"/>
              </w:rPr>
            </w:pPr>
            <w:r>
              <w:rPr>
                <w:rFonts w:ascii="Arial" w:hAnsi="Arial" w:cs="Arial"/>
                <w:b/>
                <w:bCs/>
                <w:color w:val="FF0000"/>
                <w:sz w:val="20"/>
                <w:szCs w:val="20"/>
              </w:rPr>
              <w:t xml:space="preserve">     9,185 </w:t>
            </w:r>
          </w:p>
        </w:tc>
      </w:tr>
      <w:tr w:rsidR="00155172" w14:paraId="16D72C8E" w14:textId="77777777" w:rsidTr="00634C52">
        <w:tc>
          <w:tcPr>
            <w:tcW w:w="1476" w:type="dxa"/>
          </w:tcPr>
          <w:p w14:paraId="3F6D32B0" w14:textId="07A7E4BF" w:rsidR="00155172" w:rsidRDefault="00155172" w:rsidP="00730C86">
            <w:pPr>
              <w:pStyle w:val="BodyText"/>
              <w:rPr>
                <w:color w:val="auto"/>
              </w:rPr>
            </w:pPr>
            <w:r>
              <w:rPr>
                <w:color w:val="auto"/>
              </w:rPr>
              <w:t>August</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5B3E6520" w14:textId="4674A718" w:rsidR="00155172" w:rsidRDefault="00155172" w:rsidP="00730C86">
            <w:pPr>
              <w:pStyle w:val="BodyText"/>
              <w:rPr>
                <w:color w:val="auto"/>
              </w:rPr>
            </w:pPr>
            <w:r>
              <w:rPr>
                <w:rFonts w:ascii="Arial" w:hAnsi="Arial" w:cs="Arial"/>
                <w:b/>
                <w:bCs/>
                <w:color w:val="FF0000"/>
                <w:sz w:val="20"/>
                <w:szCs w:val="20"/>
              </w:rPr>
              <w:t xml:space="preserve">     9,417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03BA58A4" w14:textId="61A445BA" w:rsidR="00155172" w:rsidRDefault="00155172" w:rsidP="00730C86">
            <w:pPr>
              <w:pStyle w:val="BodyText"/>
              <w:rPr>
                <w:color w:val="auto"/>
              </w:rPr>
            </w:pPr>
            <w:r>
              <w:rPr>
                <w:rFonts w:ascii="Arial" w:hAnsi="Arial" w:cs="Arial"/>
                <w:b/>
                <w:bCs/>
                <w:color w:val="FF0000"/>
                <w:sz w:val="20"/>
                <w:szCs w:val="20"/>
              </w:rPr>
              <w:t xml:space="preserve">     8,000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1EE74127" w14:textId="28263D04" w:rsidR="00155172" w:rsidRDefault="00155172" w:rsidP="00730C86">
            <w:pPr>
              <w:pStyle w:val="BodyText"/>
              <w:rPr>
                <w:color w:val="auto"/>
              </w:rPr>
            </w:pPr>
            <w:r>
              <w:rPr>
                <w:rFonts w:ascii="Arial" w:hAnsi="Arial" w:cs="Arial"/>
                <w:b/>
                <w:bCs/>
                <w:color w:val="FF0000"/>
                <w:sz w:val="20"/>
                <w:szCs w:val="20"/>
              </w:rPr>
              <w:t xml:space="preserve">     8,661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28BB4A23" w14:textId="221D5595" w:rsidR="00155172" w:rsidRDefault="00155172" w:rsidP="00730C86">
            <w:pPr>
              <w:pStyle w:val="BodyText"/>
              <w:rPr>
                <w:color w:val="auto"/>
              </w:rPr>
            </w:pPr>
            <w:r>
              <w:rPr>
                <w:rFonts w:ascii="Arial" w:hAnsi="Arial" w:cs="Arial"/>
                <w:b/>
                <w:bCs/>
                <w:color w:val="FF0000"/>
                <w:sz w:val="20"/>
                <w:szCs w:val="20"/>
              </w:rPr>
              <w:t xml:space="preserve">   12,476 </w:t>
            </w:r>
          </w:p>
        </w:tc>
      </w:tr>
      <w:tr w:rsidR="00155172" w14:paraId="46442DC0" w14:textId="77777777" w:rsidTr="00634C52">
        <w:tc>
          <w:tcPr>
            <w:tcW w:w="1476" w:type="dxa"/>
          </w:tcPr>
          <w:p w14:paraId="57D4F975" w14:textId="26D7E9A2" w:rsidR="00155172" w:rsidRDefault="00155172" w:rsidP="00730C86">
            <w:pPr>
              <w:pStyle w:val="BodyText"/>
              <w:rPr>
                <w:color w:val="auto"/>
              </w:rPr>
            </w:pPr>
            <w:r>
              <w:rPr>
                <w:color w:val="auto"/>
              </w:rPr>
              <w:t>September</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2072EE59" w14:textId="043B1060" w:rsidR="00155172" w:rsidRDefault="00155172" w:rsidP="00730C86">
            <w:pPr>
              <w:pStyle w:val="BodyText"/>
              <w:rPr>
                <w:color w:val="auto"/>
              </w:rPr>
            </w:pPr>
            <w:r>
              <w:rPr>
                <w:rFonts w:ascii="Arial" w:hAnsi="Arial" w:cs="Arial"/>
                <w:b/>
                <w:bCs/>
                <w:color w:val="FF0000"/>
                <w:sz w:val="20"/>
                <w:szCs w:val="20"/>
              </w:rPr>
              <w:t xml:space="preserve">     9,417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742E94EF" w14:textId="7613CE74" w:rsidR="00155172" w:rsidRDefault="00155172" w:rsidP="00730C86">
            <w:pPr>
              <w:pStyle w:val="BodyText"/>
              <w:rPr>
                <w:color w:val="auto"/>
              </w:rPr>
            </w:pPr>
            <w:r>
              <w:rPr>
                <w:rFonts w:ascii="Arial" w:hAnsi="Arial" w:cs="Arial"/>
                <w:b/>
                <w:bCs/>
                <w:color w:val="FF0000"/>
                <w:sz w:val="20"/>
                <w:szCs w:val="20"/>
              </w:rPr>
              <w:t xml:space="preserve">     8,000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3A149567" w14:textId="5DFF9BFE" w:rsidR="00155172" w:rsidRDefault="00155172" w:rsidP="00730C86">
            <w:pPr>
              <w:pStyle w:val="BodyText"/>
              <w:rPr>
                <w:color w:val="auto"/>
              </w:rPr>
            </w:pPr>
            <w:r>
              <w:rPr>
                <w:rFonts w:ascii="Arial" w:hAnsi="Arial" w:cs="Arial"/>
                <w:b/>
                <w:bCs/>
                <w:color w:val="FF0000"/>
                <w:sz w:val="20"/>
                <w:szCs w:val="20"/>
              </w:rPr>
              <w:t xml:space="preserve">     8,732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42B45E91" w14:textId="5A690886" w:rsidR="00155172" w:rsidRDefault="00155172" w:rsidP="00730C86">
            <w:pPr>
              <w:pStyle w:val="BodyText"/>
              <w:rPr>
                <w:color w:val="auto"/>
              </w:rPr>
            </w:pPr>
            <w:r>
              <w:rPr>
                <w:rFonts w:ascii="Arial" w:hAnsi="Arial" w:cs="Arial"/>
                <w:b/>
                <w:bCs/>
                <w:color w:val="FF0000"/>
                <w:sz w:val="20"/>
                <w:szCs w:val="20"/>
              </w:rPr>
              <w:t xml:space="preserve">   18,901 </w:t>
            </w:r>
          </w:p>
        </w:tc>
      </w:tr>
      <w:tr w:rsidR="00155172" w14:paraId="67F936A0" w14:textId="77777777" w:rsidTr="00634C52">
        <w:tc>
          <w:tcPr>
            <w:tcW w:w="1476" w:type="dxa"/>
          </w:tcPr>
          <w:p w14:paraId="409BFF42" w14:textId="316E275C" w:rsidR="00155172" w:rsidRDefault="00155172" w:rsidP="00730C86">
            <w:pPr>
              <w:pStyle w:val="BodyText"/>
              <w:rPr>
                <w:color w:val="auto"/>
              </w:rPr>
            </w:pPr>
            <w:r>
              <w:rPr>
                <w:color w:val="auto"/>
              </w:rPr>
              <w:t>October</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3B9C5F05" w14:textId="68EFDF61" w:rsidR="00155172" w:rsidRDefault="00155172" w:rsidP="00730C86">
            <w:pPr>
              <w:pStyle w:val="BodyText"/>
              <w:rPr>
                <w:color w:val="auto"/>
              </w:rPr>
            </w:pPr>
            <w:r>
              <w:rPr>
                <w:rFonts w:ascii="Arial" w:hAnsi="Arial" w:cs="Arial"/>
                <w:b/>
                <w:bCs/>
                <w:color w:val="FF0000"/>
                <w:sz w:val="20"/>
                <w:szCs w:val="20"/>
              </w:rPr>
              <w:t xml:space="preserve">     9,417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78F606B3" w14:textId="70E428D5" w:rsidR="00155172" w:rsidRDefault="00155172" w:rsidP="00730C86">
            <w:pPr>
              <w:pStyle w:val="BodyText"/>
              <w:rPr>
                <w:color w:val="auto"/>
              </w:rPr>
            </w:pPr>
            <w:r>
              <w:rPr>
                <w:rFonts w:ascii="Arial" w:hAnsi="Arial" w:cs="Arial"/>
                <w:b/>
                <w:bCs/>
                <w:color w:val="FF0000"/>
                <w:sz w:val="20"/>
                <w:szCs w:val="20"/>
              </w:rPr>
              <w:t xml:space="preserve">     8,000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116BF099" w14:textId="32103B70" w:rsidR="00155172" w:rsidRDefault="00155172" w:rsidP="00730C86">
            <w:pPr>
              <w:pStyle w:val="BodyText"/>
              <w:rPr>
                <w:color w:val="auto"/>
              </w:rPr>
            </w:pPr>
            <w:r>
              <w:rPr>
                <w:rFonts w:ascii="Arial" w:hAnsi="Arial" w:cs="Arial"/>
                <w:b/>
                <w:bCs/>
                <w:color w:val="FF0000"/>
                <w:sz w:val="20"/>
                <w:szCs w:val="20"/>
              </w:rPr>
              <w:t xml:space="preserve">     8,802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74F9E2E3" w14:textId="0A78F3E5" w:rsidR="00155172" w:rsidRDefault="00155172" w:rsidP="00730C86">
            <w:pPr>
              <w:pStyle w:val="BodyText"/>
              <w:rPr>
                <w:color w:val="auto"/>
              </w:rPr>
            </w:pPr>
            <w:r>
              <w:rPr>
                <w:rFonts w:ascii="Arial" w:hAnsi="Arial" w:cs="Arial"/>
                <w:b/>
                <w:bCs/>
                <w:color w:val="FF0000"/>
                <w:sz w:val="20"/>
                <w:szCs w:val="20"/>
              </w:rPr>
              <w:t xml:space="preserve">   19,514 </w:t>
            </w:r>
          </w:p>
        </w:tc>
      </w:tr>
      <w:tr w:rsidR="00155172" w14:paraId="14776A27" w14:textId="77777777" w:rsidTr="00634C52">
        <w:tc>
          <w:tcPr>
            <w:tcW w:w="1476" w:type="dxa"/>
          </w:tcPr>
          <w:p w14:paraId="5EB19926" w14:textId="153A51F3" w:rsidR="00155172" w:rsidRDefault="00155172" w:rsidP="00730C86">
            <w:pPr>
              <w:pStyle w:val="BodyText"/>
              <w:rPr>
                <w:color w:val="auto"/>
              </w:rPr>
            </w:pPr>
            <w:r>
              <w:rPr>
                <w:color w:val="auto"/>
              </w:rPr>
              <w:t>November</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5E4D3EC3" w14:textId="55598865" w:rsidR="00155172" w:rsidRDefault="00155172" w:rsidP="00730C86">
            <w:pPr>
              <w:pStyle w:val="BodyText"/>
              <w:rPr>
                <w:color w:val="auto"/>
              </w:rPr>
            </w:pPr>
            <w:r>
              <w:rPr>
                <w:rFonts w:ascii="Arial" w:hAnsi="Arial" w:cs="Arial"/>
                <w:b/>
                <w:bCs/>
                <w:color w:val="FF0000"/>
                <w:sz w:val="20"/>
                <w:szCs w:val="20"/>
              </w:rPr>
              <w:t xml:space="preserve">     9,417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546DB7A0" w14:textId="7BFF5468" w:rsidR="00155172" w:rsidRDefault="00155172" w:rsidP="00730C86">
            <w:pPr>
              <w:pStyle w:val="BodyText"/>
              <w:rPr>
                <w:color w:val="auto"/>
              </w:rPr>
            </w:pPr>
            <w:r>
              <w:rPr>
                <w:rFonts w:ascii="Arial" w:hAnsi="Arial" w:cs="Arial"/>
                <w:b/>
                <w:bCs/>
                <w:color w:val="FF0000"/>
                <w:sz w:val="20"/>
                <w:szCs w:val="20"/>
              </w:rPr>
              <w:t xml:space="preserve">     8,000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102A4779" w14:textId="33C4FB33" w:rsidR="00155172" w:rsidRDefault="00155172" w:rsidP="00730C86">
            <w:pPr>
              <w:pStyle w:val="BodyText"/>
              <w:rPr>
                <w:color w:val="auto"/>
              </w:rPr>
            </w:pPr>
            <w:r>
              <w:rPr>
                <w:rFonts w:ascii="Arial" w:hAnsi="Arial" w:cs="Arial"/>
                <w:b/>
                <w:bCs/>
                <w:color w:val="FF0000"/>
                <w:sz w:val="20"/>
                <w:szCs w:val="20"/>
              </w:rPr>
              <w:t xml:space="preserve">     8,872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4104B856" w14:textId="5D314B4B" w:rsidR="00155172" w:rsidRDefault="00155172" w:rsidP="00730C86">
            <w:pPr>
              <w:pStyle w:val="BodyText"/>
              <w:rPr>
                <w:color w:val="auto"/>
              </w:rPr>
            </w:pPr>
            <w:r>
              <w:rPr>
                <w:rFonts w:ascii="Arial" w:hAnsi="Arial" w:cs="Arial"/>
                <w:b/>
                <w:bCs/>
                <w:color w:val="FF0000"/>
                <w:sz w:val="20"/>
                <w:szCs w:val="20"/>
              </w:rPr>
              <w:t xml:space="preserve">   23,452 </w:t>
            </w:r>
          </w:p>
        </w:tc>
      </w:tr>
      <w:tr w:rsidR="00155172" w14:paraId="32A0A7CE" w14:textId="77777777" w:rsidTr="00634C52">
        <w:tc>
          <w:tcPr>
            <w:tcW w:w="1476" w:type="dxa"/>
          </w:tcPr>
          <w:p w14:paraId="44300673" w14:textId="06ACE305" w:rsidR="00155172" w:rsidRDefault="00155172" w:rsidP="00730C86">
            <w:pPr>
              <w:pStyle w:val="BodyText"/>
              <w:rPr>
                <w:color w:val="auto"/>
              </w:rPr>
            </w:pPr>
            <w:r>
              <w:rPr>
                <w:color w:val="auto"/>
              </w:rPr>
              <w:t>December</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01745108" w14:textId="66D263B4" w:rsidR="00155172" w:rsidRDefault="00155172" w:rsidP="00730C86">
            <w:pPr>
              <w:pStyle w:val="BodyText"/>
              <w:rPr>
                <w:color w:val="auto"/>
              </w:rPr>
            </w:pPr>
            <w:r>
              <w:rPr>
                <w:rFonts w:ascii="Arial" w:hAnsi="Arial" w:cs="Arial"/>
                <w:b/>
                <w:bCs/>
                <w:color w:val="FF0000"/>
                <w:sz w:val="20"/>
                <w:szCs w:val="20"/>
              </w:rPr>
              <w:t xml:space="preserve">     9,417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66555EEB" w14:textId="0D5622AE" w:rsidR="00155172" w:rsidRDefault="00155172" w:rsidP="00730C86">
            <w:pPr>
              <w:pStyle w:val="BodyText"/>
              <w:rPr>
                <w:color w:val="auto"/>
              </w:rPr>
            </w:pPr>
            <w:r>
              <w:rPr>
                <w:rFonts w:ascii="Arial" w:hAnsi="Arial" w:cs="Arial"/>
                <w:b/>
                <w:bCs/>
                <w:color w:val="FF0000"/>
                <w:sz w:val="20"/>
                <w:szCs w:val="20"/>
              </w:rPr>
              <w:t xml:space="preserve">     8,000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7427545B" w14:textId="26E5A041" w:rsidR="00155172" w:rsidRDefault="00155172" w:rsidP="00730C86">
            <w:pPr>
              <w:pStyle w:val="BodyText"/>
              <w:rPr>
                <w:color w:val="auto"/>
              </w:rPr>
            </w:pPr>
            <w:r>
              <w:rPr>
                <w:rFonts w:ascii="Arial" w:hAnsi="Arial" w:cs="Arial"/>
                <w:b/>
                <w:bCs/>
                <w:color w:val="FF0000"/>
                <w:sz w:val="20"/>
                <w:szCs w:val="20"/>
              </w:rPr>
              <w:t xml:space="preserve">     8,942 </w:t>
            </w:r>
          </w:p>
        </w:tc>
        <w:tc>
          <w:tcPr>
            <w:tcW w:w="1476" w:type="dxa"/>
            <w:tcBorders>
              <w:top w:val="single" w:sz="4" w:space="0" w:color="auto"/>
              <w:left w:val="single" w:sz="4" w:space="0" w:color="auto"/>
              <w:bottom w:val="single" w:sz="4" w:space="0" w:color="auto"/>
              <w:right w:val="single" w:sz="4" w:space="0" w:color="auto"/>
            </w:tcBorders>
            <w:shd w:val="clear" w:color="000000" w:fill="CCFFCC"/>
            <w:vAlign w:val="bottom"/>
          </w:tcPr>
          <w:p w14:paraId="23DC1D73" w14:textId="47225170" w:rsidR="00155172" w:rsidRDefault="00155172" w:rsidP="00730C86">
            <w:pPr>
              <w:pStyle w:val="BodyText"/>
              <w:rPr>
                <w:color w:val="auto"/>
              </w:rPr>
            </w:pPr>
            <w:r>
              <w:rPr>
                <w:rFonts w:ascii="Arial" w:hAnsi="Arial" w:cs="Arial"/>
                <w:b/>
                <w:bCs/>
                <w:color w:val="FF0000"/>
                <w:sz w:val="20"/>
                <w:szCs w:val="20"/>
              </w:rPr>
              <w:t xml:space="preserve">   12,164 </w:t>
            </w:r>
          </w:p>
        </w:tc>
      </w:tr>
    </w:tbl>
    <w:p w14:paraId="675DF50A" w14:textId="3375D62D" w:rsidR="00030E57" w:rsidRPr="001F4EB6" w:rsidRDefault="00030E57">
      <w:pPr>
        <w:pStyle w:val="BodyText"/>
        <w:rPr>
          <w:color w:val="auto"/>
        </w:rPr>
      </w:pPr>
      <w:r w:rsidRPr="001F4EB6">
        <w:rPr>
          <w:color w:val="auto"/>
        </w:rPr>
        <w:t xml:space="preserve"> </w:t>
      </w:r>
    </w:p>
    <w:p w14:paraId="1A8E7812" w14:textId="147209D5" w:rsidR="00030E57" w:rsidRDefault="00155172">
      <w:pPr>
        <w:pStyle w:val="BodyText"/>
        <w:rPr>
          <w:color w:val="auto"/>
        </w:rPr>
      </w:pPr>
      <w:r>
        <w:rPr>
          <w:color w:val="auto"/>
        </w:rPr>
        <w:t>The MAD for the various methods is as follows:</w:t>
      </w:r>
    </w:p>
    <w:p w14:paraId="75EFF622" w14:textId="11C27AAE" w:rsidR="00155172" w:rsidRDefault="00155172">
      <w:pPr>
        <w:pStyle w:val="BodyText"/>
        <w:rPr>
          <w:color w:val="auto"/>
        </w:rPr>
      </w:pPr>
    </w:p>
    <w:tbl>
      <w:tblPr>
        <w:tblStyle w:val="TableGrid"/>
        <w:tblW w:w="0" w:type="auto"/>
        <w:tblLook w:val="04A0" w:firstRow="1" w:lastRow="0" w:firstColumn="1" w:lastColumn="0" w:noHBand="0" w:noVBand="1"/>
      </w:tblPr>
      <w:tblGrid>
        <w:gridCol w:w="3348"/>
        <w:gridCol w:w="1710"/>
      </w:tblGrid>
      <w:tr w:rsidR="00155172" w14:paraId="27564D1C" w14:textId="77777777" w:rsidTr="00634C52">
        <w:tc>
          <w:tcPr>
            <w:tcW w:w="3348" w:type="dxa"/>
          </w:tcPr>
          <w:p w14:paraId="4CCE26DD" w14:textId="23C8D40D" w:rsidR="00155172" w:rsidRPr="00634C52" w:rsidRDefault="00155172">
            <w:pPr>
              <w:pStyle w:val="BodyText"/>
              <w:rPr>
                <w:b/>
                <w:color w:val="auto"/>
              </w:rPr>
            </w:pPr>
            <w:r w:rsidRPr="00634C52">
              <w:rPr>
                <w:b/>
                <w:color w:val="auto"/>
              </w:rPr>
              <w:t>Method</w:t>
            </w:r>
          </w:p>
        </w:tc>
        <w:tc>
          <w:tcPr>
            <w:tcW w:w="1710" w:type="dxa"/>
          </w:tcPr>
          <w:p w14:paraId="1BB5C514" w14:textId="3761E98B" w:rsidR="00155172" w:rsidRPr="00634C52" w:rsidRDefault="00155172">
            <w:pPr>
              <w:pStyle w:val="BodyText"/>
              <w:rPr>
                <w:b/>
                <w:color w:val="auto"/>
              </w:rPr>
            </w:pPr>
            <w:r w:rsidRPr="00634C52">
              <w:rPr>
                <w:b/>
                <w:color w:val="auto"/>
              </w:rPr>
              <w:t>MAD</w:t>
            </w:r>
          </w:p>
        </w:tc>
      </w:tr>
      <w:tr w:rsidR="00155172" w14:paraId="59A627A8" w14:textId="77777777" w:rsidTr="00634C52">
        <w:tc>
          <w:tcPr>
            <w:tcW w:w="3348" w:type="dxa"/>
          </w:tcPr>
          <w:p w14:paraId="34D8F188" w14:textId="0B4194AE" w:rsidR="00155172" w:rsidRDefault="00155172">
            <w:pPr>
              <w:pStyle w:val="BodyText"/>
              <w:rPr>
                <w:color w:val="auto"/>
              </w:rPr>
            </w:pPr>
            <w:r>
              <w:rPr>
                <w:color w:val="auto"/>
              </w:rPr>
              <w:t>Moving Average</w:t>
            </w:r>
          </w:p>
        </w:tc>
        <w:tc>
          <w:tcPr>
            <w:tcW w:w="1710" w:type="dxa"/>
          </w:tcPr>
          <w:p w14:paraId="01B6B764" w14:textId="6A12BAA0" w:rsidR="00155172" w:rsidRDefault="00155172">
            <w:pPr>
              <w:pStyle w:val="BodyText"/>
              <w:rPr>
                <w:color w:val="auto"/>
              </w:rPr>
            </w:pPr>
            <w:r>
              <w:rPr>
                <w:color w:val="auto"/>
              </w:rPr>
              <w:t>3,590</w:t>
            </w:r>
          </w:p>
        </w:tc>
      </w:tr>
      <w:tr w:rsidR="00155172" w14:paraId="50945167" w14:textId="77777777" w:rsidTr="00634C52">
        <w:tc>
          <w:tcPr>
            <w:tcW w:w="3348" w:type="dxa"/>
          </w:tcPr>
          <w:p w14:paraId="564C37F1" w14:textId="10C3E7DE" w:rsidR="00155172" w:rsidRDefault="00155172">
            <w:pPr>
              <w:pStyle w:val="BodyText"/>
              <w:rPr>
                <w:color w:val="auto"/>
              </w:rPr>
            </w:pPr>
            <w:r>
              <w:rPr>
                <w:color w:val="auto"/>
              </w:rPr>
              <w:t>Simple Exponential Smoothing</w:t>
            </w:r>
          </w:p>
        </w:tc>
        <w:tc>
          <w:tcPr>
            <w:tcW w:w="1710" w:type="dxa"/>
          </w:tcPr>
          <w:p w14:paraId="450AF636" w14:textId="152CA9CC" w:rsidR="00155172" w:rsidRDefault="00155172">
            <w:pPr>
              <w:pStyle w:val="BodyText"/>
              <w:rPr>
                <w:color w:val="auto"/>
              </w:rPr>
            </w:pPr>
            <w:r>
              <w:rPr>
                <w:color w:val="auto"/>
              </w:rPr>
              <w:t>3,004</w:t>
            </w:r>
          </w:p>
        </w:tc>
      </w:tr>
      <w:tr w:rsidR="00155172" w14:paraId="16555629" w14:textId="77777777" w:rsidTr="00634C52">
        <w:tc>
          <w:tcPr>
            <w:tcW w:w="3348" w:type="dxa"/>
          </w:tcPr>
          <w:p w14:paraId="6503C9D0" w14:textId="54325EE3" w:rsidR="00155172" w:rsidRDefault="00155172">
            <w:pPr>
              <w:pStyle w:val="BodyText"/>
              <w:rPr>
                <w:color w:val="auto"/>
              </w:rPr>
            </w:pPr>
            <w:r>
              <w:rPr>
                <w:color w:val="auto"/>
              </w:rPr>
              <w:t>Holt’s Model</w:t>
            </w:r>
          </w:p>
        </w:tc>
        <w:tc>
          <w:tcPr>
            <w:tcW w:w="1710" w:type="dxa"/>
          </w:tcPr>
          <w:p w14:paraId="5D6211E5" w14:textId="4C613807" w:rsidR="00155172" w:rsidRDefault="00155172">
            <w:pPr>
              <w:pStyle w:val="BodyText"/>
              <w:rPr>
                <w:color w:val="auto"/>
              </w:rPr>
            </w:pPr>
            <w:r>
              <w:rPr>
                <w:color w:val="auto"/>
              </w:rPr>
              <w:t>2,961</w:t>
            </w:r>
          </w:p>
        </w:tc>
      </w:tr>
      <w:tr w:rsidR="00155172" w14:paraId="0EC25EB1" w14:textId="77777777" w:rsidTr="00634C52">
        <w:tc>
          <w:tcPr>
            <w:tcW w:w="3348" w:type="dxa"/>
          </w:tcPr>
          <w:p w14:paraId="62D71FCF" w14:textId="58604CAE" w:rsidR="00155172" w:rsidRDefault="00155172">
            <w:pPr>
              <w:pStyle w:val="BodyText"/>
              <w:rPr>
                <w:color w:val="auto"/>
              </w:rPr>
            </w:pPr>
            <w:r>
              <w:rPr>
                <w:color w:val="auto"/>
              </w:rPr>
              <w:t>Winter’s Model</w:t>
            </w:r>
          </w:p>
        </w:tc>
        <w:tc>
          <w:tcPr>
            <w:tcW w:w="1710" w:type="dxa"/>
          </w:tcPr>
          <w:p w14:paraId="71EC3BE3" w14:textId="42E240C5" w:rsidR="00155172" w:rsidRDefault="00155172">
            <w:pPr>
              <w:pStyle w:val="BodyText"/>
              <w:rPr>
                <w:color w:val="auto"/>
              </w:rPr>
            </w:pPr>
            <w:r>
              <w:rPr>
                <w:color w:val="auto"/>
              </w:rPr>
              <w:t>1,028</w:t>
            </w:r>
          </w:p>
        </w:tc>
      </w:tr>
    </w:tbl>
    <w:p w14:paraId="6CE9104B" w14:textId="77777777" w:rsidR="00155172" w:rsidRPr="001F4EB6" w:rsidRDefault="00155172">
      <w:pPr>
        <w:pStyle w:val="BodyText"/>
        <w:rPr>
          <w:color w:val="auto"/>
        </w:rPr>
      </w:pPr>
    </w:p>
    <w:p w14:paraId="66A1128B" w14:textId="3CE922E8" w:rsidR="00030E57" w:rsidRPr="001F4EB6" w:rsidRDefault="00030E57">
      <w:pPr>
        <w:pStyle w:val="BodyText"/>
        <w:rPr>
          <w:color w:val="auto"/>
        </w:rPr>
      </w:pPr>
      <w:r w:rsidRPr="001F4EB6">
        <w:rPr>
          <w:color w:val="auto"/>
        </w:rPr>
        <w:t xml:space="preserve">It is evident that Winter’s model is preferable in this case with the lowest MAD value, </w:t>
      </w:r>
      <w:r w:rsidR="00DF44AA">
        <w:rPr>
          <w:color w:val="auto"/>
        </w:rPr>
        <w:t>that is</w:t>
      </w:r>
      <w:r w:rsidRPr="001F4EB6">
        <w:rPr>
          <w:color w:val="auto"/>
        </w:rPr>
        <w:t>, lowest forecast error. It is also important to note that Winter’s model allows for the incorporation of level, trend</w:t>
      </w:r>
      <w:r w:rsidR="00DF44AA">
        <w:rPr>
          <w:color w:val="auto"/>
        </w:rPr>
        <w:t>,</w:t>
      </w:r>
      <w:r w:rsidRPr="001F4EB6">
        <w:rPr>
          <w:color w:val="auto"/>
        </w:rPr>
        <w:t xml:space="preserve"> and seasonality, which are evident in the demand data for this case.  </w:t>
      </w:r>
    </w:p>
    <w:p w14:paraId="4C514DB0" w14:textId="77777777" w:rsidR="00433833" w:rsidRPr="001F4EB6" w:rsidRDefault="00433833">
      <w:pPr>
        <w:pStyle w:val="BodyText"/>
        <w:rPr>
          <w:color w:val="auto"/>
        </w:rPr>
      </w:pPr>
    </w:p>
    <w:p w14:paraId="661E480E" w14:textId="77777777" w:rsidR="003E0CFB" w:rsidRPr="001F4EB6" w:rsidRDefault="003E0CFB">
      <w:pPr>
        <w:pStyle w:val="BodyText"/>
        <w:rPr>
          <w:color w:val="auto"/>
        </w:rPr>
      </w:pPr>
    </w:p>
    <w:p w14:paraId="32BF293D" w14:textId="77777777" w:rsidR="003E0CFB" w:rsidRPr="001F4EB6" w:rsidRDefault="003E0CFB">
      <w:pPr>
        <w:pStyle w:val="BodyText"/>
        <w:rPr>
          <w:color w:val="auto"/>
        </w:rPr>
      </w:pPr>
    </w:p>
    <w:p w14:paraId="7F7F8D5A" w14:textId="77777777" w:rsidR="00155172" w:rsidRDefault="00155172">
      <w:pPr>
        <w:rPr>
          <w:b/>
        </w:rPr>
      </w:pPr>
      <w:r>
        <w:rPr>
          <w:b/>
        </w:rPr>
        <w:br w:type="page"/>
      </w:r>
    </w:p>
    <w:p w14:paraId="6A9DCF11" w14:textId="6F468595" w:rsidR="00433833" w:rsidRPr="001F4EB6" w:rsidRDefault="00433833">
      <w:pPr>
        <w:pStyle w:val="BodyText"/>
        <w:rPr>
          <w:color w:val="auto"/>
        </w:rPr>
      </w:pPr>
      <w:r w:rsidRPr="001F4EB6">
        <w:rPr>
          <w:b/>
          <w:color w:val="auto"/>
        </w:rPr>
        <w:lastRenderedPageBreak/>
        <w:t>Problem 7-5</w:t>
      </w:r>
      <w:r w:rsidRPr="001F4EB6">
        <w:rPr>
          <w:color w:val="auto"/>
        </w:rPr>
        <w:t>:</w:t>
      </w:r>
    </w:p>
    <w:p w14:paraId="431DAB13" w14:textId="77777777" w:rsidR="00433833" w:rsidRPr="001F4EB6" w:rsidRDefault="00433833">
      <w:pPr>
        <w:pStyle w:val="BodyText"/>
        <w:rPr>
          <w:color w:val="auto"/>
        </w:rPr>
      </w:pPr>
    </w:p>
    <w:p w14:paraId="6438C0F5" w14:textId="124EB39B" w:rsidR="00433833" w:rsidRPr="001F4EB6" w:rsidRDefault="00433833">
      <w:pPr>
        <w:pStyle w:val="BodyText"/>
        <w:rPr>
          <w:color w:val="auto"/>
        </w:rPr>
      </w:pPr>
      <w:r w:rsidRPr="001F4EB6">
        <w:rPr>
          <w:color w:val="auto"/>
        </w:rPr>
        <w:t xml:space="preserve">Worksheet </w:t>
      </w:r>
      <w:r w:rsidR="00155172" w:rsidRPr="00634C52">
        <w:rPr>
          <w:i/>
          <w:color w:val="auto"/>
        </w:rPr>
        <w:t xml:space="preserve">Exercise </w:t>
      </w:r>
      <w:r w:rsidRPr="00634C52">
        <w:rPr>
          <w:i/>
          <w:color w:val="auto"/>
        </w:rPr>
        <w:t>7-5</w:t>
      </w:r>
      <w:r w:rsidRPr="001F4EB6">
        <w:rPr>
          <w:color w:val="auto"/>
        </w:rPr>
        <w:t xml:space="preserve"> </w:t>
      </w:r>
      <w:r w:rsidR="00CC2B6D" w:rsidRPr="001F4EB6">
        <w:rPr>
          <w:color w:val="auto"/>
        </w:rPr>
        <w:t xml:space="preserve">compares the two exponential smoothing forecasts with an alpha of </w:t>
      </w:r>
      <w:r w:rsidR="00775DCB" w:rsidRPr="001F4EB6">
        <w:rPr>
          <w:color w:val="auto"/>
        </w:rPr>
        <w:t>0</w:t>
      </w:r>
      <w:r w:rsidR="00CC2B6D" w:rsidRPr="001F4EB6">
        <w:rPr>
          <w:color w:val="auto"/>
        </w:rPr>
        <w:t xml:space="preserve">.1 and alpha of </w:t>
      </w:r>
      <w:r w:rsidR="00775DCB" w:rsidRPr="001F4EB6">
        <w:rPr>
          <w:color w:val="auto"/>
        </w:rPr>
        <w:t>0</w:t>
      </w:r>
      <w:r w:rsidR="00CC2B6D" w:rsidRPr="001F4EB6">
        <w:rPr>
          <w:color w:val="auto"/>
        </w:rPr>
        <w:t>.9.</w:t>
      </w:r>
    </w:p>
    <w:p w14:paraId="704F54A9" w14:textId="77777777" w:rsidR="00CC2B6D" w:rsidRPr="001F4EB6" w:rsidRDefault="00CC2B6D">
      <w:pPr>
        <w:pStyle w:val="BodyText"/>
        <w:rPr>
          <w:color w:val="auto"/>
        </w:rPr>
      </w:pPr>
    </w:p>
    <w:p w14:paraId="2E6FD98C" w14:textId="5CE06475" w:rsidR="00CC2B6D" w:rsidRPr="001F4EB6" w:rsidRDefault="00991A04">
      <w:pPr>
        <w:pStyle w:val="BodyText"/>
        <w:rPr>
          <w:color w:val="auto"/>
        </w:rPr>
      </w:pPr>
      <w:r>
        <w:rPr>
          <w:noProof/>
        </w:rPr>
        <w:pict w14:anchorId="4D7A0E2A">
          <v:shapetype id="_x0000_t202" coordsize="21600,21600" o:spt="202" path="m,l,21600r21600,l21600,xe">
            <v:stroke joinstyle="miter"/>
            <v:path gradientshapeok="t" o:connecttype="rect"/>
          </v:shapetype>
          <v:shape id="Text Box 2" o:spid="_x0000_s1032" type="#_x0000_t202" style="position:absolute;margin-left:269pt;margin-top:69pt;width:73.85pt;height:269.4pt;z-index:251659264;visibility:visible;mso-height-percent:200;mso-wrap-distance-left:9pt;mso-wrap-distance-top:3.6pt;mso-wrap-distance-right:9pt;mso-wrap-distance-bottom:3.6pt;mso-position-horizontal-relative:text;mso-position-vertical-relative:text;mso-height-percent:200;mso-width-relative:margin;mso-height-relative:margin;v-text-anchor:top" stroked="f">
            <v:textbox style="mso-fit-shape-to-text:t">
              <w:txbxContent>
                <w:p w14:paraId="45BA6099" w14:textId="545D01E8" w:rsidR="004509FF" w:rsidRDefault="004509FF">
                  <w:r>
                    <w:t>α = 0.1</w:t>
                  </w:r>
                </w:p>
                <w:p w14:paraId="0F1F0384" w14:textId="33D69773" w:rsidR="004509FF" w:rsidRDefault="004509FF"/>
                <w:p w14:paraId="4A7CEEF8" w14:textId="35E871EB" w:rsidR="004509FF" w:rsidRDefault="004509FF"/>
                <w:p w14:paraId="31670556" w14:textId="58447A39" w:rsidR="004509FF" w:rsidRDefault="004509FF"/>
                <w:p w14:paraId="5611CF92" w14:textId="0454FF57" w:rsidR="004509FF" w:rsidRDefault="004509FF"/>
                <w:p w14:paraId="4BD46447" w14:textId="2E17D00F" w:rsidR="004509FF" w:rsidRDefault="004509FF"/>
                <w:p w14:paraId="6295A83D" w14:textId="22640F5E" w:rsidR="004509FF" w:rsidRDefault="004509FF"/>
                <w:p w14:paraId="73AE4F81" w14:textId="012CF736" w:rsidR="004509FF" w:rsidRDefault="004509FF"/>
                <w:p w14:paraId="35148319" w14:textId="6EF61D90" w:rsidR="004509FF" w:rsidRDefault="004509FF"/>
                <w:p w14:paraId="72D90D97" w14:textId="0BEB4E39" w:rsidR="004509FF" w:rsidRDefault="004509FF"/>
                <w:p w14:paraId="5D2497A1" w14:textId="5FD9DACC" w:rsidR="004509FF" w:rsidRDefault="004509FF"/>
                <w:p w14:paraId="43AB9FBF" w14:textId="2A1C41D9" w:rsidR="004509FF" w:rsidRDefault="004509FF"/>
                <w:p w14:paraId="1916E50C" w14:textId="1E5DAE37" w:rsidR="004509FF" w:rsidRDefault="004509FF"/>
                <w:p w14:paraId="0AF137F2" w14:textId="62FBE8B9" w:rsidR="004509FF" w:rsidRDefault="004509FF"/>
                <w:p w14:paraId="751BE8AE" w14:textId="4ABA557E" w:rsidR="004509FF" w:rsidRDefault="004509FF"/>
                <w:p w14:paraId="696EAD65" w14:textId="55FEE7BD" w:rsidR="004509FF" w:rsidRDefault="004509FF"/>
                <w:p w14:paraId="2F0D14A7" w14:textId="23DE2017" w:rsidR="004509FF" w:rsidRDefault="004509FF"/>
                <w:p w14:paraId="1B81C888" w14:textId="5CF6C965" w:rsidR="004509FF" w:rsidRDefault="004509FF"/>
                <w:p w14:paraId="0299062E" w14:textId="06745522" w:rsidR="004509FF" w:rsidRDefault="004509FF">
                  <w:r>
                    <w:t>α = 0.9</w:t>
                  </w:r>
                </w:p>
              </w:txbxContent>
            </v:textbox>
            <w10:wrap type="square"/>
          </v:shape>
        </w:pict>
      </w:r>
      <w:r w:rsidR="004509FF" w:rsidRPr="004509FF">
        <w:rPr>
          <w:noProof/>
          <w:lang w:eastAsia="en-US"/>
        </w:rPr>
        <w:drawing>
          <wp:inline distT="0" distB="0" distL="0" distR="0" wp14:anchorId="13993EA3" wp14:editId="440C915E">
            <wp:extent cx="3136392" cy="50749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136392" cy="5074920"/>
                    </a:xfrm>
                    <a:prstGeom prst="rect">
                      <a:avLst/>
                    </a:prstGeom>
                  </pic:spPr>
                </pic:pic>
              </a:graphicData>
            </a:graphic>
          </wp:inline>
        </w:drawing>
      </w:r>
    </w:p>
    <w:p w14:paraId="13F996F8" w14:textId="77777777" w:rsidR="003E0CFB" w:rsidRPr="001F4EB6" w:rsidRDefault="003E0CFB">
      <w:pPr>
        <w:pStyle w:val="BodyText"/>
        <w:rPr>
          <w:color w:val="auto"/>
        </w:rPr>
      </w:pPr>
    </w:p>
    <w:p w14:paraId="69216A07" w14:textId="37C9B8D5" w:rsidR="003E0CFB" w:rsidRPr="001F4EB6" w:rsidRDefault="00B37EAD">
      <w:pPr>
        <w:pStyle w:val="BodyText"/>
        <w:rPr>
          <w:color w:val="auto"/>
        </w:rPr>
      </w:pPr>
      <w:r w:rsidRPr="001F4EB6">
        <w:rPr>
          <w:color w:val="auto"/>
        </w:rPr>
        <w:t>While at first glance</w:t>
      </w:r>
      <w:r w:rsidR="003E0CFB" w:rsidRPr="001F4EB6">
        <w:rPr>
          <w:color w:val="auto"/>
        </w:rPr>
        <w:t xml:space="preserve"> that the alpha of </w:t>
      </w:r>
      <w:r w:rsidRPr="001F4EB6">
        <w:rPr>
          <w:color w:val="auto"/>
        </w:rPr>
        <w:t>0</w:t>
      </w:r>
      <w:r w:rsidR="003E0CFB" w:rsidRPr="001F4EB6">
        <w:rPr>
          <w:color w:val="auto"/>
        </w:rPr>
        <w:t>.9 is a better tracker of the forecast</w:t>
      </w:r>
      <w:r w:rsidRPr="001F4EB6">
        <w:rPr>
          <w:color w:val="auto"/>
        </w:rPr>
        <w:t>, a careful review indicates that the alpha of 0.9 model is essentially using the last period demand to predict next period demand</w:t>
      </w:r>
      <w:r w:rsidR="003E0CFB" w:rsidRPr="001F4EB6">
        <w:rPr>
          <w:color w:val="auto"/>
        </w:rPr>
        <w:t>.</w:t>
      </w:r>
      <w:r w:rsidRPr="001F4EB6">
        <w:rPr>
          <w:color w:val="auto"/>
        </w:rPr>
        <w:t xml:space="preserve"> As a result, during unstable times (periods 4</w:t>
      </w:r>
      <w:r w:rsidR="005F4612">
        <w:rPr>
          <w:color w:val="auto"/>
        </w:rPr>
        <w:t>–</w:t>
      </w:r>
      <w:r w:rsidRPr="001F4EB6">
        <w:rPr>
          <w:color w:val="auto"/>
        </w:rPr>
        <w:t>10) it has large errors. In contrast, the method with alpha of 0.1 is not so reactive to recent changes and provides a more stable forecast where errors are never very large. This difference really shows up in the forecasts from period 13 onwards. The method with alpha of 0.9 behaves as though demand has permanently dropped in periods 11 and 12. In contrast, the method with alpha of 0.1 behaves as though the drop in periods 11 and 12 is part of natural variation. This where forecast becomes as much art as science. An experienced manager will be in a position to decide which of the two methods is more reflective of the current reality.</w:t>
      </w:r>
    </w:p>
    <w:p w14:paraId="41ED88C0" w14:textId="77777777" w:rsidR="003E0CFB" w:rsidRPr="001F4EB6" w:rsidRDefault="003E0CFB">
      <w:pPr>
        <w:pStyle w:val="BodyText"/>
        <w:rPr>
          <w:color w:val="auto"/>
        </w:rPr>
      </w:pPr>
    </w:p>
    <w:p w14:paraId="50A41167" w14:textId="77777777" w:rsidR="003E0CFB" w:rsidRPr="001F4EB6" w:rsidRDefault="003E0CFB">
      <w:pPr>
        <w:pStyle w:val="BodyText"/>
        <w:rPr>
          <w:color w:val="auto"/>
        </w:rPr>
      </w:pPr>
      <w:r w:rsidRPr="001F4EB6">
        <w:rPr>
          <w:b/>
          <w:color w:val="auto"/>
        </w:rPr>
        <w:t>Problem 7-6</w:t>
      </w:r>
      <w:r w:rsidRPr="001F4EB6">
        <w:rPr>
          <w:color w:val="auto"/>
        </w:rPr>
        <w:t>:</w:t>
      </w:r>
    </w:p>
    <w:p w14:paraId="413C8C96" w14:textId="77777777" w:rsidR="003E0CFB" w:rsidRPr="001F4EB6" w:rsidRDefault="003E0CFB">
      <w:pPr>
        <w:pStyle w:val="BodyText"/>
        <w:rPr>
          <w:color w:val="auto"/>
        </w:rPr>
      </w:pPr>
    </w:p>
    <w:p w14:paraId="4AEA2D1C" w14:textId="50C4A7B5" w:rsidR="003E0CFB" w:rsidRPr="001F4EB6" w:rsidRDefault="003E0CFB">
      <w:pPr>
        <w:pStyle w:val="BodyText"/>
        <w:rPr>
          <w:color w:val="auto"/>
        </w:rPr>
      </w:pPr>
      <w:r w:rsidRPr="001F4EB6">
        <w:rPr>
          <w:color w:val="auto"/>
        </w:rPr>
        <w:t xml:space="preserve">Worksheet </w:t>
      </w:r>
      <w:r w:rsidR="00DE5A26" w:rsidRPr="00634C52">
        <w:rPr>
          <w:i/>
          <w:color w:val="auto"/>
        </w:rPr>
        <w:t xml:space="preserve">Exercise </w:t>
      </w:r>
      <w:r w:rsidRPr="00634C52">
        <w:rPr>
          <w:i/>
          <w:color w:val="auto"/>
        </w:rPr>
        <w:t>7-6</w:t>
      </w:r>
      <w:r w:rsidRPr="001F4EB6">
        <w:rPr>
          <w:color w:val="auto"/>
        </w:rPr>
        <w:t xml:space="preserve"> looks at the forecast for A&amp;D Electronics and compares the results of simple exponential smoothing model with the Holt’s model. In looking at the results of these two models, it is evident </w:t>
      </w:r>
      <w:r w:rsidR="00320A42">
        <w:rPr>
          <w:color w:val="auto"/>
        </w:rPr>
        <w:t xml:space="preserve">that </w:t>
      </w:r>
      <w:r w:rsidRPr="001F4EB6">
        <w:rPr>
          <w:color w:val="auto"/>
        </w:rPr>
        <w:t>the Holt’s model is a better forecasting model.</w:t>
      </w:r>
      <w:r w:rsidR="0027382F" w:rsidRPr="001F4EB6">
        <w:rPr>
          <w:color w:val="auto"/>
        </w:rPr>
        <w:t xml:space="preserve"> A plot of sales over the 12 periods indicates a clear increasing trend, making Holt’s model the appropriate choice.</w:t>
      </w:r>
    </w:p>
    <w:p w14:paraId="14D1641D" w14:textId="77777777" w:rsidR="0027382F" w:rsidRPr="001F4EB6" w:rsidRDefault="0027382F">
      <w:pPr>
        <w:pStyle w:val="BodyText"/>
        <w:rPr>
          <w:color w:val="auto"/>
        </w:rPr>
      </w:pPr>
    </w:p>
    <w:p w14:paraId="3FFA7750" w14:textId="2362ACE9" w:rsidR="003E0CFB" w:rsidRPr="001F4EB6" w:rsidRDefault="00DE5A26">
      <w:pPr>
        <w:pStyle w:val="BodyText"/>
        <w:rPr>
          <w:color w:val="auto"/>
        </w:rPr>
      </w:pPr>
      <w:r w:rsidRPr="00DE5A26">
        <w:rPr>
          <w:noProof/>
          <w:lang w:eastAsia="en-US"/>
        </w:rPr>
        <w:drawing>
          <wp:inline distT="0" distB="0" distL="0" distR="0" wp14:anchorId="5B82BB79" wp14:editId="3C20EF44">
            <wp:extent cx="5486400" cy="535495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86400" cy="5354955"/>
                    </a:xfrm>
                    <a:prstGeom prst="rect">
                      <a:avLst/>
                    </a:prstGeom>
                  </pic:spPr>
                </pic:pic>
              </a:graphicData>
            </a:graphic>
          </wp:inline>
        </w:drawing>
      </w:r>
    </w:p>
    <w:p w14:paraId="06C01C8C" w14:textId="77777777" w:rsidR="003E0CFB" w:rsidRPr="001F4EB6" w:rsidRDefault="003E0CFB">
      <w:pPr>
        <w:pStyle w:val="BodyText"/>
        <w:rPr>
          <w:color w:val="auto"/>
        </w:rPr>
      </w:pPr>
    </w:p>
    <w:p w14:paraId="31E9B619" w14:textId="77777777" w:rsidR="00DE5A26" w:rsidRDefault="00DE5A26">
      <w:pPr>
        <w:rPr>
          <w:b/>
        </w:rPr>
      </w:pPr>
      <w:r>
        <w:rPr>
          <w:b/>
        </w:rPr>
        <w:br w:type="page"/>
      </w:r>
    </w:p>
    <w:p w14:paraId="1313CA3B" w14:textId="5687C6FD" w:rsidR="003E0CFB" w:rsidRPr="001F4EB6" w:rsidRDefault="003E0CFB">
      <w:pPr>
        <w:pStyle w:val="BodyText"/>
        <w:rPr>
          <w:color w:val="auto"/>
        </w:rPr>
      </w:pPr>
      <w:r w:rsidRPr="001F4EB6">
        <w:rPr>
          <w:b/>
          <w:color w:val="auto"/>
        </w:rPr>
        <w:lastRenderedPageBreak/>
        <w:t>Problem 7-7</w:t>
      </w:r>
      <w:r w:rsidRPr="001F4EB6">
        <w:rPr>
          <w:color w:val="auto"/>
        </w:rPr>
        <w:t>:</w:t>
      </w:r>
    </w:p>
    <w:p w14:paraId="7941E2B7" w14:textId="77777777" w:rsidR="003E0CFB" w:rsidRPr="001F4EB6" w:rsidRDefault="003E0CFB">
      <w:pPr>
        <w:pStyle w:val="BodyText"/>
        <w:rPr>
          <w:color w:val="auto"/>
        </w:rPr>
      </w:pPr>
    </w:p>
    <w:p w14:paraId="6FA389E7" w14:textId="50DE55DD" w:rsidR="003E0CFB" w:rsidRPr="001F4EB6" w:rsidRDefault="003E0CFB">
      <w:pPr>
        <w:pStyle w:val="BodyText"/>
        <w:rPr>
          <w:color w:val="auto"/>
        </w:rPr>
      </w:pPr>
      <w:r w:rsidRPr="001F4EB6">
        <w:rPr>
          <w:color w:val="auto"/>
        </w:rPr>
        <w:t xml:space="preserve">Worksheet </w:t>
      </w:r>
      <w:r w:rsidR="00DE5A26" w:rsidRPr="00634C52">
        <w:rPr>
          <w:i/>
          <w:color w:val="auto"/>
        </w:rPr>
        <w:t xml:space="preserve">Exercise </w:t>
      </w:r>
      <w:r w:rsidRPr="00634C52">
        <w:rPr>
          <w:i/>
          <w:color w:val="auto"/>
        </w:rPr>
        <w:t>7-7</w:t>
      </w:r>
      <w:r w:rsidRPr="001F4EB6">
        <w:rPr>
          <w:color w:val="auto"/>
        </w:rPr>
        <w:t xml:space="preserve"> reexamines the A&amp;D Electronics data with the Holt’s model being run with the original alpha at </w:t>
      </w:r>
      <w:r w:rsidR="00D01173">
        <w:rPr>
          <w:color w:val="auto"/>
        </w:rPr>
        <w:t>0</w:t>
      </w:r>
      <w:r w:rsidRPr="001F4EB6">
        <w:rPr>
          <w:color w:val="auto"/>
        </w:rPr>
        <w:t>.</w:t>
      </w:r>
      <w:r w:rsidRPr="00D01173">
        <w:rPr>
          <w:color w:val="auto"/>
        </w:rPr>
        <w:t xml:space="preserve">05 and beta at </w:t>
      </w:r>
      <w:r w:rsidR="00D01173">
        <w:rPr>
          <w:color w:val="auto"/>
        </w:rPr>
        <w:t>0</w:t>
      </w:r>
      <w:r w:rsidRPr="00D01173">
        <w:rPr>
          <w:color w:val="auto"/>
        </w:rPr>
        <w:t>.1 and a</w:t>
      </w:r>
      <w:r w:rsidRPr="001F4EB6">
        <w:rPr>
          <w:color w:val="auto"/>
        </w:rPr>
        <w:t xml:space="preserve"> revised Holt’s with an alpha and beta both of </w:t>
      </w:r>
      <w:r w:rsidR="00D01173">
        <w:rPr>
          <w:color w:val="auto"/>
        </w:rPr>
        <w:t>0</w:t>
      </w:r>
      <w:r w:rsidRPr="001F4EB6">
        <w:rPr>
          <w:color w:val="auto"/>
        </w:rPr>
        <w:t>.5.</w:t>
      </w:r>
    </w:p>
    <w:p w14:paraId="6FEE53D5" w14:textId="77777777" w:rsidR="003E0CFB" w:rsidRPr="001F4EB6" w:rsidRDefault="003E0CFB">
      <w:pPr>
        <w:pStyle w:val="BodyText"/>
        <w:rPr>
          <w:color w:val="auto"/>
        </w:rPr>
      </w:pPr>
    </w:p>
    <w:p w14:paraId="25130865" w14:textId="63D8ACDC" w:rsidR="003E0CFB" w:rsidRPr="001F4EB6" w:rsidRDefault="00F2581D">
      <w:pPr>
        <w:pStyle w:val="BodyText"/>
        <w:rPr>
          <w:color w:val="auto"/>
        </w:rPr>
      </w:pPr>
      <w:r w:rsidRPr="00F2581D">
        <w:rPr>
          <w:noProof/>
          <w:lang w:eastAsia="en-US"/>
        </w:rPr>
        <w:drawing>
          <wp:inline distT="0" distB="0" distL="0" distR="0" wp14:anchorId="419906AD" wp14:editId="6EC68D61">
            <wp:extent cx="5486400" cy="239585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86400" cy="2395855"/>
                    </a:xfrm>
                    <a:prstGeom prst="rect">
                      <a:avLst/>
                    </a:prstGeom>
                  </pic:spPr>
                </pic:pic>
              </a:graphicData>
            </a:graphic>
          </wp:inline>
        </w:drawing>
      </w:r>
    </w:p>
    <w:p w14:paraId="6635C176" w14:textId="77777777" w:rsidR="003E0CFB" w:rsidRPr="001F4EB6" w:rsidRDefault="003E0CFB">
      <w:pPr>
        <w:pStyle w:val="BodyText"/>
        <w:rPr>
          <w:color w:val="auto"/>
        </w:rPr>
      </w:pPr>
    </w:p>
    <w:p w14:paraId="374BC39A" w14:textId="00B22399" w:rsidR="003E0CFB" w:rsidRPr="001F4EB6" w:rsidRDefault="00F2581D">
      <w:pPr>
        <w:pStyle w:val="BodyText"/>
        <w:rPr>
          <w:color w:val="auto"/>
        </w:rPr>
      </w:pPr>
      <w:r w:rsidRPr="00F2581D">
        <w:rPr>
          <w:noProof/>
          <w:lang w:eastAsia="en-US"/>
        </w:rPr>
        <w:drawing>
          <wp:inline distT="0" distB="0" distL="0" distR="0" wp14:anchorId="482FD5F4" wp14:editId="6553FB9F">
            <wp:extent cx="5486400" cy="239585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86400" cy="2395855"/>
                    </a:xfrm>
                    <a:prstGeom prst="rect">
                      <a:avLst/>
                    </a:prstGeom>
                  </pic:spPr>
                </pic:pic>
              </a:graphicData>
            </a:graphic>
          </wp:inline>
        </w:drawing>
      </w:r>
    </w:p>
    <w:p w14:paraId="709BCED2" w14:textId="77777777" w:rsidR="00077692" w:rsidRPr="001F4EB6" w:rsidRDefault="00077692">
      <w:pPr>
        <w:pStyle w:val="BodyText"/>
        <w:rPr>
          <w:color w:val="auto"/>
        </w:rPr>
      </w:pPr>
    </w:p>
    <w:p w14:paraId="245A535D" w14:textId="77777777" w:rsidR="00077692" w:rsidRPr="001F4EB6" w:rsidRDefault="00077692">
      <w:pPr>
        <w:pStyle w:val="BodyText"/>
        <w:rPr>
          <w:color w:val="auto"/>
        </w:rPr>
      </w:pPr>
      <w:r w:rsidRPr="001F4EB6">
        <w:rPr>
          <w:color w:val="auto"/>
        </w:rPr>
        <w:t>Observe that increasing the values of α and β results in a more volatile forecast that has larger errors. The smoothing constants α = 0.05 and β = 0.1 are preferred because they result in lower errors and a less volatile forecast.</w:t>
      </w:r>
    </w:p>
    <w:p w14:paraId="383CE10A" w14:textId="77777777" w:rsidR="00B27273" w:rsidRPr="001F4EB6" w:rsidRDefault="00B27273">
      <w:pPr>
        <w:pStyle w:val="BodyText"/>
        <w:rPr>
          <w:color w:val="auto"/>
        </w:rPr>
      </w:pPr>
    </w:p>
    <w:p w14:paraId="129216B3" w14:textId="77777777" w:rsidR="007D2C3C" w:rsidRPr="001F4EB6" w:rsidRDefault="007D2C3C">
      <w:pPr>
        <w:rPr>
          <w:b/>
        </w:rPr>
      </w:pPr>
      <w:r w:rsidRPr="001F4EB6">
        <w:rPr>
          <w:b/>
        </w:rPr>
        <w:br w:type="page"/>
      </w:r>
    </w:p>
    <w:p w14:paraId="097D913F" w14:textId="77777777" w:rsidR="00B27273" w:rsidRPr="001F4EB6" w:rsidRDefault="00B27273" w:rsidP="00B27273">
      <w:pPr>
        <w:pStyle w:val="BodyText"/>
        <w:rPr>
          <w:color w:val="auto"/>
        </w:rPr>
      </w:pPr>
      <w:r w:rsidRPr="001F4EB6">
        <w:rPr>
          <w:b/>
          <w:color w:val="auto"/>
        </w:rPr>
        <w:lastRenderedPageBreak/>
        <w:t>Problem 7-8</w:t>
      </w:r>
      <w:r w:rsidRPr="001F4EB6">
        <w:rPr>
          <w:color w:val="auto"/>
        </w:rPr>
        <w:t>:</w:t>
      </w:r>
    </w:p>
    <w:p w14:paraId="3139C48D" w14:textId="77777777" w:rsidR="00B27273" w:rsidRPr="001F4EB6" w:rsidRDefault="00B27273" w:rsidP="00B27273">
      <w:pPr>
        <w:pStyle w:val="BodyText"/>
        <w:rPr>
          <w:color w:val="auto"/>
        </w:rPr>
      </w:pPr>
    </w:p>
    <w:p w14:paraId="10362493" w14:textId="77777777" w:rsidR="00B27273" w:rsidRPr="001F4EB6" w:rsidRDefault="00B27273" w:rsidP="00B27273">
      <w:pPr>
        <w:pStyle w:val="BodyText"/>
        <w:rPr>
          <w:color w:val="auto"/>
        </w:rPr>
      </w:pPr>
      <w:r w:rsidRPr="001F4EB6">
        <w:rPr>
          <w:color w:val="auto"/>
        </w:rPr>
        <w:t>Worksheet 7-8 compares the f</w:t>
      </w:r>
      <w:r w:rsidR="003575B3" w:rsidRPr="001F4EB6">
        <w:rPr>
          <w:color w:val="auto"/>
        </w:rPr>
        <w:t>ive</w:t>
      </w:r>
      <w:r w:rsidRPr="001F4EB6">
        <w:rPr>
          <w:color w:val="auto"/>
        </w:rPr>
        <w:t>-week moving average approach with the exponential smoothing model (alpha = 0.1). The results are as shown below:</w:t>
      </w:r>
    </w:p>
    <w:p w14:paraId="0825DC98" w14:textId="77777777" w:rsidR="00B27273" w:rsidRPr="001F4EB6" w:rsidRDefault="00B27273" w:rsidP="00B27273">
      <w:pPr>
        <w:pStyle w:val="BodyText"/>
        <w:rPr>
          <w:color w:val="auto"/>
        </w:rPr>
      </w:pPr>
    </w:p>
    <w:p w14:paraId="2F8C67BF" w14:textId="46A20944" w:rsidR="00B27273" w:rsidRPr="001F4EB6" w:rsidRDefault="00F2581D" w:rsidP="00B27273">
      <w:pPr>
        <w:pStyle w:val="BodyText"/>
        <w:rPr>
          <w:color w:val="auto"/>
        </w:rPr>
      </w:pPr>
      <w:r w:rsidRPr="00F2581D">
        <w:rPr>
          <w:noProof/>
          <w:lang w:eastAsia="en-US"/>
        </w:rPr>
        <w:drawing>
          <wp:inline distT="0" distB="0" distL="0" distR="0" wp14:anchorId="7EA7EB5B" wp14:editId="632E840A">
            <wp:extent cx="5486400" cy="13843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486400" cy="1384300"/>
                    </a:xfrm>
                    <a:prstGeom prst="rect">
                      <a:avLst/>
                    </a:prstGeom>
                  </pic:spPr>
                </pic:pic>
              </a:graphicData>
            </a:graphic>
          </wp:inline>
        </w:drawing>
      </w:r>
    </w:p>
    <w:p w14:paraId="3874CA87" w14:textId="77777777" w:rsidR="00B27273" w:rsidRPr="001F4EB6" w:rsidRDefault="00B27273" w:rsidP="00B27273">
      <w:pPr>
        <w:pStyle w:val="BodyText"/>
        <w:rPr>
          <w:color w:val="auto"/>
        </w:rPr>
      </w:pPr>
    </w:p>
    <w:p w14:paraId="738A6319" w14:textId="0482F9BB" w:rsidR="00B27273" w:rsidRPr="001F4EB6" w:rsidRDefault="00F2581D" w:rsidP="00B27273">
      <w:pPr>
        <w:pStyle w:val="BodyText"/>
        <w:rPr>
          <w:color w:val="auto"/>
        </w:rPr>
      </w:pPr>
      <w:r w:rsidRPr="00F2581D">
        <w:rPr>
          <w:noProof/>
          <w:lang w:eastAsia="en-US"/>
        </w:rPr>
        <w:drawing>
          <wp:inline distT="0" distB="0" distL="0" distR="0" wp14:anchorId="1D2552B0" wp14:editId="2FFAD9E1">
            <wp:extent cx="5486400" cy="15824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86400" cy="1582420"/>
                    </a:xfrm>
                    <a:prstGeom prst="rect">
                      <a:avLst/>
                    </a:prstGeom>
                  </pic:spPr>
                </pic:pic>
              </a:graphicData>
            </a:graphic>
          </wp:inline>
        </w:drawing>
      </w:r>
    </w:p>
    <w:p w14:paraId="1F08AFEB" w14:textId="77777777" w:rsidR="00B27273" w:rsidRPr="001F4EB6" w:rsidRDefault="00B27273" w:rsidP="00B27273">
      <w:pPr>
        <w:pStyle w:val="BodyText"/>
        <w:rPr>
          <w:color w:val="auto"/>
        </w:rPr>
      </w:pPr>
    </w:p>
    <w:p w14:paraId="2B518B56" w14:textId="77777777" w:rsidR="00B27273" w:rsidRPr="001F4EB6" w:rsidRDefault="00B27273" w:rsidP="00B27273">
      <w:pPr>
        <w:pStyle w:val="BodyText"/>
        <w:rPr>
          <w:color w:val="auto"/>
        </w:rPr>
      </w:pPr>
      <w:r w:rsidRPr="001F4EB6">
        <w:rPr>
          <w:color w:val="auto"/>
        </w:rPr>
        <w:t>Given a lower MAD and MAPE, the exponential smoothing method seems to do a little better.</w:t>
      </w:r>
    </w:p>
    <w:p w14:paraId="725B2839" w14:textId="77777777" w:rsidR="00B27273" w:rsidRPr="001F4EB6" w:rsidRDefault="00B27273">
      <w:pPr>
        <w:pStyle w:val="BodyText"/>
        <w:rPr>
          <w:color w:val="auto"/>
        </w:rPr>
      </w:pPr>
    </w:p>
    <w:p w14:paraId="2E230593" w14:textId="77777777" w:rsidR="007D2C3C" w:rsidRPr="001F4EB6" w:rsidRDefault="007D2C3C" w:rsidP="00502D74">
      <w:pPr>
        <w:pStyle w:val="BodyText"/>
        <w:rPr>
          <w:b/>
          <w:color w:val="auto"/>
        </w:rPr>
      </w:pPr>
    </w:p>
    <w:p w14:paraId="10999D6A" w14:textId="77777777" w:rsidR="007D2C3C" w:rsidRPr="001F4EB6" w:rsidRDefault="007D2C3C" w:rsidP="00502D74">
      <w:pPr>
        <w:pStyle w:val="BodyText"/>
        <w:rPr>
          <w:b/>
          <w:color w:val="auto"/>
        </w:rPr>
      </w:pPr>
    </w:p>
    <w:p w14:paraId="28C018D2" w14:textId="77777777" w:rsidR="00F2581D" w:rsidRDefault="00F2581D">
      <w:pPr>
        <w:rPr>
          <w:b/>
        </w:rPr>
      </w:pPr>
      <w:r>
        <w:rPr>
          <w:b/>
        </w:rPr>
        <w:br w:type="page"/>
      </w:r>
    </w:p>
    <w:p w14:paraId="7038AA25" w14:textId="45855FFC" w:rsidR="00502D74" w:rsidRPr="001F4EB6" w:rsidRDefault="00502D74" w:rsidP="00502D74">
      <w:pPr>
        <w:pStyle w:val="BodyText"/>
        <w:rPr>
          <w:color w:val="auto"/>
        </w:rPr>
      </w:pPr>
      <w:r w:rsidRPr="001F4EB6">
        <w:rPr>
          <w:b/>
          <w:color w:val="auto"/>
        </w:rPr>
        <w:lastRenderedPageBreak/>
        <w:t>Problem 7-9</w:t>
      </w:r>
      <w:r w:rsidRPr="001F4EB6">
        <w:rPr>
          <w:color w:val="auto"/>
        </w:rPr>
        <w:t>:</w:t>
      </w:r>
    </w:p>
    <w:p w14:paraId="48E447F3" w14:textId="77777777" w:rsidR="00502D74" w:rsidRPr="001F4EB6" w:rsidRDefault="00502D74" w:rsidP="00502D74">
      <w:pPr>
        <w:pStyle w:val="BodyText"/>
        <w:rPr>
          <w:color w:val="auto"/>
        </w:rPr>
      </w:pPr>
    </w:p>
    <w:p w14:paraId="78A90E84" w14:textId="0202F24E" w:rsidR="00502D74" w:rsidRPr="001F4EB6" w:rsidRDefault="00502D74" w:rsidP="00502D74">
      <w:pPr>
        <w:pStyle w:val="BodyText"/>
        <w:rPr>
          <w:color w:val="auto"/>
        </w:rPr>
      </w:pPr>
      <w:r w:rsidRPr="001F4EB6">
        <w:rPr>
          <w:color w:val="auto"/>
        </w:rPr>
        <w:t>Worksheet 7-</w:t>
      </w:r>
      <w:r w:rsidR="008C1AF9" w:rsidRPr="001F4EB6">
        <w:rPr>
          <w:color w:val="auto"/>
        </w:rPr>
        <w:t>9 contains the results of the analysis. The first step is to perform a deseasonalized analysis to estimate the initial value of level (for period 0), trend (for period 0), and seasonal factors (for periods 1</w:t>
      </w:r>
      <w:r w:rsidR="00C90A4C">
        <w:rPr>
          <w:color w:val="auto"/>
        </w:rPr>
        <w:t>–</w:t>
      </w:r>
      <w:r w:rsidR="008C1AF9" w:rsidRPr="001F4EB6">
        <w:rPr>
          <w:color w:val="auto"/>
        </w:rPr>
        <w:t xml:space="preserve">4). Our initial estimates (see worksheet </w:t>
      </w:r>
      <w:r w:rsidR="008C1AF9" w:rsidRPr="001F4EB6">
        <w:rPr>
          <w:i/>
          <w:color w:val="auto"/>
        </w:rPr>
        <w:t>Values</w:t>
      </w:r>
      <w:r w:rsidR="008C1AF9" w:rsidRPr="001F4EB6">
        <w:rPr>
          <w:color w:val="auto"/>
        </w:rPr>
        <w:t>) are obtained to be:</w:t>
      </w:r>
    </w:p>
    <w:p w14:paraId="089EC49C" w14:textId="77777777" w:rsidR="008C1AF9" w:rsidRPr="001F4EB6" w:rsidRDefault="008C1AF9" w:rsidP="00502D74">
      <w:pPr>
        <w:pStyle w:val="BodyText"/>
        <w:rPr>
          <w:color w:val="auto"/>
        </w:rPr>
      </w:pPr>
      <w:r w:rsidRPr="001F4EB6">
        <w:rPr>
          <w:i/>
          <w:color w:val="auto"/>
        </w:rPr>
        <w:t>L</w:t>
      </w:r>
      <w:r w:rsidRPr="001F4EB6">
        <w:rPr>
          <w:i/>
          <w:color w:val="auto"/>
          <w:vertAlign w:val="subscript"/>
        </w:rPr>
        <w:t>0</w:t>
      </w:r>
      <w:r w:rsidRPr="001F4EB6">
        <w:rPr>
          <w:i/>
          <w:color w:val="auto"/>
        </w:rPr>
        <w:t xml:space="preserve"> =</w:t>
      </w:r>
      <w:r w:rsidRPr="001F4EB6">
        <w:rPr>
          <w:color w:val="auto"/>
        </w:rPr>
        <w:t xml:space="preserve"> 921.54; </w:t>
      </w:r>
      <w:r w:rsidRPr="001F4EB6">
        <w:rPr>
          <w:i/>
          <w:color w:val="auto"/>
        </w:rPr>
        <w:t>T</w:t>
      </w:r>
      <w:r w:rsidRPr="001F4EB6">
        <w:rPr>
          <w:i/>
          <w:color w:val="auto"/>
          <w:vertAlign w:val="subscript"/>
        </w:rPr>
        <w:t>0</w:t>
      </w:r>
      <w:r w:rsidRPr="001F4EB6">
        <w:rPr>
          <w:i/>
          <w:color w:val="auto"/>
        </w:rPr>
        <w:t xml:space="preserve"> =</w:t>
      </w:r>
      <w:r w:rsidRPr="001F4EB6">
        <w:rPr>
          <w:color w:val="auto"/>
        </w:rPr>
        <w:t xml:space="preserve">91.24; </w:t>
      </w:r>
      <w:r w:rsidRPr="001F4EB6">
        <w:rPr>
          <w:i/>
          <w:color w:val="auto"/>
        </w:rPr>
        <w:t>S</w:t>
      </w:r>
      <w:r w:rsidRPr="001F4EB6">
        <w:rPr>
          <w:i/>
          <w:color w:val="auto"/>
          <w:vertAlign w:val="subscript"/>
        </w:rPr>
        <w:t>1</w:t>
      </w:r>
      <w:r w:rsidRPr="001F4EB6">
        <w:rPr>
          <w:color w:val="auto"/>
        </w:rPr>
        <w:t xml:space="preserve"> = 0.50; </w:t>
      </w:r>
      <w:r w:rsidRPr="001F4EB6">
        <w:rPr>
          <w:i/>
          <w:color w:val="auto"/>
        </w:rPr>
        <w:t>S</w:t>
      </w:r>
      <w:r w:rsidRPr="001F4EB6">
        <w:rPr>
          <w:i/>
          <w:color w:val="auto"/>
          <w:vertAlign w:val="subscript"/>
        </w:rPr>
        <w:t>2</w:t>
      </w:r>
      <w:r w:rsidRPr="001F4EB6">
        <w:rPr>
          <w:color w:val="auto"/>
        </w:rPr>
        <w:t xml:space="preserve"> = 0.79;</w:t>
      </w:r>
      <w:r w:rsidRPr="001F4EB6">
        <w:rPr>
          <w:i/>
          <w:color w:val="auto"/>
        </w:rPr>
        <w:t xml:space="preserve"> S</w:t>
      </w:r>
      <w:r w:rsidRPr="001F4EB6">
        <w:rPr>
          <w:i/>
          <w:color w:val="auto"/>
          <w:vertAlign w:val="subscript"/>
        </w:rPr>
        <w:t>3</w:t>
      </w:r>
      <w:r w:rsidRPr="001F4EB6">
        <w:rPr>
          <w:color w:val="auto"/>
        </w:rPr>
        <w:t xml:space="preserve"> = 1.21;</w:t>
      </w:r>
      <w:r w:rsidRPr="001F4EB6">
        <w:rPr>
          <w:i/>
          <w:color w:val="auto"/>
        </w:rPr>
        <w:t xml:space="preserve"> S</w:t>
      </w:r>
      <w:r w:rsidRPr="001F4EB6">
        <w:rPr>
          <w:i/>
          <w:color w:val="auto"/>
          <w:vertAlign w:val="subscript"/>
        </w:rPr>
        <w:t>4</w:t>
      </w:r>
      <w:r w:rsidRPr="001F4EB6">
        <w:rPr>
          <w:color w:val="auto"/>
        </w:rPr>
        <w:t xml:space="preserve"> = 1.50.</w:t>
      </w:r>
    </w:p>
    <w:p w14:paraId="4DE94274" w14:textId="77777777" w:rsidR="008C1AF9" w:rsidRPr="001F4EB6" w:rsidRDefault="008C1AF9" w:rsidP="00502D74">
      <w:pPr>
        <w:pStyle w:val="BodyText"/>
        <w:rPr>
          <w:color w:val="auto"/>
        </w:rPr>
      </w:pPr>
    </w:p>
    <w:p w14:paraId="11B4D106" w14:textId="77777777" w:rsidR="008C1AF9" w:rsidRPr="001F4EB6" w:rsidRDefault="008C1AF9" w:rsidP="00634C52">
      <w:r w:rsidRPr="001F4EB6">
        <w:t xml:space="preserve">Using these estimates, Winter’s model provides the following forecasts and errors (see worksheet </w:t>
      </w:r>
      <w:r w:rsidRPr="001F4EB6">
        <w:rPr>
          <w:i/>
        </w:rPr>
        <w:t>Values</w:t>
      </w:r>
      <w:r w:rsidRPr="001F4EB6">
        <w:t>):</w:t>
      </w:r>
    </w:p>
    <w:p w14:paraId="60C384EE" w14:textId="77777777" w:rsidR="007D2C3C" w:rsidRPr="001F4EB6" w:rsidRDefault="007D2C3C" w:rsidP="00502D74">
      <w:pPr>
        <w:pStyle w:val="BodyText"/>
        <w:rPr>
          <w:color w:val="auto"/>
        </w:rPr>
      </w:pPr>
    </w:p>
    <w:p w14:paraId="47CF8FAD" w14:textId="0A6ADF04" w:rsidR="008C1AF9" w:rsidRPr="001F4EB6" w:rsidRDefault="002532E6" w:rsidP="00502D74">
      <w:pPr>
        <w:pStyle w:val="BodyText"/>
        <w:rPr>
          <w:color w:val="auto"/>
        </w:rPr>
      </w:pPr>
      <w:r w:rsidRPr="002532E6">
        <w:rPr>
          <w:noProof/>
          <w:lang w:eastAsia="en-US"/>
        </w:rPr>
        <w:drawing>
          <wp:inline distT="0" distB="0" distL="0" distR="0" wp14:anchorId="238843C1" wp14:editId="666E7DA3">
            <wp:extent cx="5486400" cy="239903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86400" cy="2399030"/>
                    </a:xfrm>
                    <a:prstGeom prst="rect">
                      <a:avLst/>
                    </a:prstGeom>
                  </pic:spPr>
                </pic:pic>
              </a:graphicData>
            </a:graphic>
          </wp:inline>
        </w:drawing>
      </w:r>
    </w:p>
    <w:p w14:paraId="00C7CB4D" w14:textId="77777777" w:rsidR="008C1AF9" w:rsidRPr="001F4EB6" w:rsidRDefault="008C1AF9" w:rsidP="00502D74">
      <w:pPr>
        <w:pStyle w:val="BodyText"/>
        <w:rPr>
          <w:color w:val="auto"/>
        </w:rPr>
      </w:pPr>
    </w:p>
    <w:p w14:paraId="1BAF7C5F" w14:textId="77777777" w:rsidR="007D2C3C" w:rsidRPr="001F4EB6" w:rsidRDefault="007D2C3C" w:rsidP="00502D74">
      <w:pPr>
        <w:pStyle w:val="BodyText"/>
        <w:rPr>
          <w:color w:val="auto"/>
        </w:rPr>
      </w:pPr>
    </w:p>
    <w:p w14:paraId="36430731" w14:textId="77777777" w:rsidR="008C1AF9" w:rsidRPr="001F4EB6" w:rsidRDefault="008C1AF9" w:rsidP="00502D74">
      <w:pPr>
        <w:pStyle w:val="BodyText"/>
        <w:rPr>
          <w:color w:val="auto"/>
        </w:rPr>
      </w:pPr>
      <w:r w:rsidRPr="001F4EB6">
        <w:rPr>
          <w:color w:val="auto"/>
        </w:rPr>
        <w:t xml:space="preserve">The values of α, β, </w:t>
      </w:r>
      <w:r w:rsidR="00C90A4C">
        <w:rPr>
          <w:color w:val="auto"/>
        </w:rPr>
        <w:t xml:space="preserve">and </w:t>
      </w:r>
      <w:r w:rsidRPr="001F4EB6">
        <w:rPr>
          <w:color w:val="auto"/>
        </w:rPr>
        <w:t xml:space="preserve">γ that minimize MAD and the associated forecasts are obtained on worksheet </w:t>
      </w:r>
      <w:r w:rsidRPr="001F4EB6">
        <w:rPr>
          <w:i/>
          <w:color w:val="auto"/>
        </w:rPr>
        <w:t xml:space="preserve">Values </w:t>
      </w:r>
      <w:r w:rsidRPr="00634C52">
        <w:rPr>
          <w:color w:val="auto"/>
        </w:rPr>
        <w:t>(</w:t>
      </w:r>
      <w:r w:rsidRPr="001F4EB6">
        <w:rPr>
          <w:i/>
          <w:color w:val="auto"/>
        </w:rPr>
        <w:t>optimal MAD</w:t>
      </w:r>
      <w:r w:rsidRPr="00634C52">
        <w:rPr>
          <w:color w:val="auto"/>
        </w:rPr>
        <w:t>)</w:t>
      </w:r>
      <w:r w:rsidRPr="001F4EB6">
        <w:rPr>
          <w:color w:val="auto"/>
        </w:rPr>
        <w:t>. The optimization limits all smoothing constants to be between 0 and 0.9.</w:t>
      </w:r>
    </w:p>
    <w:p w14:paraId="4477A73F" w14:textId="77777777" w:rsidR="008C1AF9" w:rsidRPr="001F4EB6" w:rsidRDefault="008C1AF9" w:rsidP="00502D74">
      <w:pPr>
        <w:pStyle w:val="BodyText"/>
        <w:rPr>
          <w:color w:val="auto"/>
        </w:rPr>
      </w:pPr>
    </w:p>
    <w:p w14:paraId="3D580623" w14:textId="5904789C" w:rsidR="008C1AF9" w:rsidRPr="001F4EB6" w:rsidRDefault="002532E6" w:rsidP="008C1AF9">
      <w:pPr>
        <w:pStyle w:val="BodyText"/>
        <w:rPr>
          <w:color w:val="auto"/>
        </w:rPr>
      </w:pPr>
      <w:r w:rsidRPr="002532E6">
        <w:rPr>
          <w:noProof/>
          <w:lang w:eastAsia="en-US"/>
        </w:rPr>
        <w:drawing>
          <wp:inline distT="0" distB="0" distL="0" distR="0" wp14:anchorId="63A63D45" wp14:editId="29FCB88C">
            <wp:extent cx="5486400" cy="239903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486400" cy="2399030"/>
                    </a:xfrm>
                    <a:prstGeom prst="rect">
                      <a:avLst/>
                    </a:prstGeom>
                  </pic:spPr>
                </pic:pic>
              </a:graphicData>
            </a:graphic>
          </wp:inline>
        </w:drawing>
      </w:r>
      <w:r w:rsidR="008C1AF9" w:rsidRPr="001F4EB6">
        <w:rPr>
          <w:color w:val="auto"/>
        </w:rPr>
        <w:t xml:space="preserve"> </w:t>
      </w:r>
    </w:p>
    <w:p w14:paraId="74F035EB" w14:textId="77777777" w:rsidR="008C1AF9" w:rsidRPr="001F4EB6" w:rsidRDefault="008C1AF9" w:rsidP="008C1AF9">
      <w:pPr>
        <w:pStyle w:val="BodyText"/>
        <w:rPr>
          <w:color w:val="auto"/>
        </w:rPr>
      </w:pPr>
    </w:p>
    <w:p w14:paraId="48D9FF5C" w14:textId="50BBE150" w:rsidR="00E40045" w:rsidRPr="001F4EB6" w:rsidRDefault="008C1AF9">
      <w:r w:rsidRPr="001F4EB6">
        <w:t>Observe that optimizing the smoothing constants lowers the MAD to 27</w:t>
      </w:r>
      <w:r w:rsidR="004E1511" w:rsidRPr="001F4EB6">
        <w:t xml:space="preserve"> (compared to 31).</w:t>
      </w:r>
      <w:r w:rsidR="00E40045" w:rsidRPr="001F4EB6">
        <w:br w:type="page"/>
      </w:r>
    </w:p>
    <w:p w14:paraId="6E2646B5" w14:textId="77777777" w:rsidR="00E40045" w:rsidRPr="001F4EB6" w:rsidRDefault="00E40045" w:rsidP="00E40045">
      <w:pPr>
        <w:pStyle w:val="BodyText"/>
        <w:rPr>
          <w:color w:val="auto"/>
        </w:rPr>
      </w:pPr>
      <w:r w:rsidRPr="001F4EB6">
        <w:rPr>
          <w:color w:val="auto"/>
        </w:rPr>
        <w:lastRenderedPageBreak/>
        <w:t xml:space="preserve">The values of α, β, </w:t>
      </w:r>
      <w:r w:rsidR="00C90A4C">
        <w:rPr>
          <w:color w:val="auto"/>
        </w:rPr>
        <w:t xml:space="preserve">and </w:t>
      </w:r>
      <w:r w:rsidRPr="001F4EB6">
        <w:rPr>
          <w:color w:val="auto"/>
        </w:rPr>
        <w:t xml:space="preserve">γ that minimize MSE and the associated forecasts are obtained on worksheet </w:t>
      </w:r>
      <w:r w:rsidRPr="001F4EB6">
        <w:rPr>
          <w:i/>
          <w:color w:val="auto"/>
        </w:rPr>
        <w:t xml:space="preserve">Values </w:t>
      </w:r>
      <w:r w:rsidRPr="00634C52">
        <w:rPr>
          <w:color w:val="auto"/>
        </w:rPr>
        <w:t>(</w:t>
      </w:r>
      <w:r w:rsidRPr="001F4EB6">
        <w:rPr>
          <w:i/>
          <w:color w:val="auto"/>
        </w:rPr>
        <w:t>optimal MSE</w:t>
      </w:r>
      <w:r w:rsidRPr="00634C52">
        <w:rPr>
          <w:color w:val="auto"/>
        </w:rPr>
        <w:t>)</w:t>
      </w:r>
      <w:r w:rsidRPr="001F4EB6">
        <w:rPr>
          <w:color w:val="auto"/>
        </w:rPr>
        <w:t>. The optimization limits all smoothing constants to be between 0 and 0.9.</w:t>
      </w:r>
    </w:p>
    <w:p w14:paraId="4D73893C" w14:textId="77777777" w:rsidR="00E40045" w:rsidRPr="001F4EB6" w:rsidRDefault="00E40045" w:rsidP="00E40045">
      <w:pPr>
        <w:pStyle w:val="BodyText"/>
        <w:rPr>
          <w:color w:val="auto"/>
        </w:rPr>
      </w:pPr>
    </w:p>
    <w:p w14:paraId="6464A9D2" w14:textId="18ED89DD" w:rsidR="00E40045" w:rsidRPr="001F4EB6" w:rsidRDefault="002532E6" w:rsidP="008C1AF9">
      <w:pPr>
        <w:pStyle w:val="BodyText"/>
        <w:rPr>
          <w:color w:val="auto"/>
        </w:rPr>
      </w:pPr>
      <w:r w:rsidRPr="002532E6">
        <w:rPr>
          <w:noProof/>
          <w:lang w:eastAsia="en-US"/>
        </w:rPr>
        <w:drawing>
          <wp:inline distT="0" distB="0" distL="0" distR="0" wp14:anchorId="1961212C" wp14:editId="6A2B3379">
            <wp:extent cx="5486400" cy="239903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86400" cy="2399030"/>
                    </a:xfrm>
                    <a:prstGeom prst="rect">
                      <a:avLst/>
                    </a:prstGeom>
                  </pic:spPr>
                </pic:pic>
              </a:graphicData>
            </a:graphic>
          </wp:inline>
        </w:drawing>
      </w:r>
    </w:p>
    <w:p w14:paraId="04D3D421" w14:textId="77777777" w:rsidR="008C1AF9" w:rsidRPr="001F4EB6" w:rsidRDefault="008C1AF9" w:rsidP="008C1AF9">
      <w:pPr>
        <w:pStyle w:val="BodyText"/>
        <w:rPr>
          <w:color w:val="auto"/>
        </w:rPr>
      </w:pPr>
    </w:p>
    <w:p w14:paraId="4D7DAC9C" w14:textId="77777777" w:rsidR="007D2C3C" w:rsidRPr="001F4EB6" w:rsidRDefault="007D2C3C" w:rsidP="007D2C3C">
      <w:pPr>
        <w:pStyle w:val="BodyText"/>
        <w:rPr>
          <w:color w:val="auto"/>
        </w:rPr>
      </w:pPr>
      <w:r w:rsidRPr="001F4EB6">
        <w:rPr>
          <w:color w:val="auto"/>
        </w:rPr>
        <w:t>Observe that optimizing the smoothing constants lowers the MSE to 1161 (compared to 1466).</w:t>
      </w:r>
    </w:p>
    <w:p w14:paraId="6953C678" w14:textId="77777777" w:rsidR="007D2C3C" w:rsidRPr="001F4EB6" w:rsidRDefault="007D2C3C" w:rsidP="007D2C3C">
      <w:pPr>
        <w:pStyle w:val="BodyText"/>
        <w:rPr>
          <w:color w:val="auto"/>
        </w:rPr>
      </w:pPr>
    </w:p>
    <w:p w14:paraId="4DF1D5B7" w14:textId="77777777" w:rsidR="00E40045" w:rsidRPr="001F4EB6" w:rsidRDefault="00E40045" w:rsidP="00E40045">
      <w:pPr>
        <w:pStyle w:val="BodyText"/>
        <w:rPr>
          <w:b/>
          <w:color w:val="auto"/>
        </w:rPr>
      </w:pPr>
    </w:p>
    <w:p w14:paraId="51A0AB71" w14:textId="77777777" w:rsidR="00E40045" w:rsidRPr="001F4EB6" w:rsidRDefault="00E40045" w:rsidP="00E40045">
      <w:pPr>
        <w:pStyle w:val="BodyText"/>
        <w:rPr>
          <w:b/>
          <w:color w:val="auto"/>
        </w:rPr>
      </w:pPr>
    </w:p>
    <w:p w14:paraId="64B19FC5" w14:textId="77777777" w:rsidR="009F3429" w:rsidRDefault="009F3429">
      <w:pPr>
        <w:rPr>
          <w:b/>
        </w:rPr>
      </w:pPr>
      <w:r>
        <w:rPr>
          <w:b/>
        </w:rPr>
        <w:br w:type="page"/>
      </w:r>
    </w:p>
    <w:p w14:paraId="1BDDDF5A" w14:textId="34ACCFEE" w:rsidR="00E40045" w:rsidRPr="001F4EB6" w:rsidRDefault="00E40045" w:rsidP="00E40045">
      <w:pPr>
        <w:pStyle w:val="BodyText"/>
        <w:rPr>
          <w:color w:val="auto"/>
        </w:rPr>
      </w:pPr>
      <w:r w:rsidRPr="001F4EB6">
        <w:rPr>
          <w:b/>
          <w:color w:val="auto"/>
        </w:rPr>
        <w:lastRenderedPageBreak/>
        <w:t>Problem 7-10</w:t>
      </w:r>
      <w:r w:rsidRPr="001F4EB6">
        <w:rPr>
          <w:color w:val="auto"/>
        </w:rPr>
        <w:t>:</w:t>
      </w:r>
    </w:p>
    <w:p w14:paraId="29CE363F" w14:textId="77777777" w:rsidR="00E40045" w:rsidRPr="001F4EB6" w:rsidRDefault="00E40045" w:rsidP="00E40045">
      <w:pPr>
        <w:pStyle w:val="BodyText"/>
        <w:rPr>
          <w:color w:val="auto"/>
        </w:rPr>
      </w:pPr>
    </w:p>
    <w:p w14:paraId="6703CB5A" w14:textId="4CACCB92" w:rsidR="00E40045" w:rsidRPr="001F4EB6" w:rsidRDefault="00E40045" w:rsidP="00E40045">
      <w:pPr>
        <w:pStyle w:val="BodyText"/>
        <w:rPr>
          <w:color w:val="auto"/>
        </w:rPr>
      </w:pPr>
      <w:r w:rsidRPr="001F4EB6">
        <w:rPr>
          <w:color w:val="auto"/>
        </w:rPr>
        <w:t>Worksheet 7-10 contains the results of the analysis. The first step is to perform a deseasonalized analysis to estimate the initial value of level (for period 0), trend (for period 0), and seasonal factors (for periods 1</w:t>
      </w:r>
      <w:r w:rsidR="00C90A4C">
        <w:rPr>
          <w:color w:val="auto"/>
        </w:rPr>
        <w:t>–</w:t>
      </w:r>
      <w:r w:rsidRPr="001F4EB6">
        <w:rPr>
          <w:color w:val="auto"/>
        </w:rPr>
        <w:t xml:space="preserve">4). Our initial estimates (see worksheet </w:t>
      </w:r>
      <w:r w:rsidRPr="001F4EB6">
        <w:rPr>
          <w:i/>
          <w:color w:val="auto"/>
        </w:rPr>
        <w:t>Values</w:t>
      </w:r>
      <w:r w:rsidRPr="001F4EB6">
        <w:rPr>
          <w:color w:val="auto"/>
        </w:rPr>
        <w:t>) are obtained to be:</w:t>
      </w:r>
    </w:p>
    <w:p w14:paraId="179D2BF1" w14:textId="77777777" w:rsidR="00E40045" w:rsidRPr="001F4EB6" w:rsidRDefault="00E40045" w:rsidP="00E40045">
      <w:pPr>
        <w:pStyle w:val="BodyText"/>
        <w:rPr>
          <w:color w:val="auto"/>
        </w:rPr>
      </w:pPr>
      <w:r w:rsidRPr="001F4EB6">
        <w:rPr>
          <w:i/>
          <w:color w:val="auto"/>
        </w:rPr>
        <w:t>L</w:t>
      </w:r>
      <w:r w:rsidRPr="001F4EB6">
        <w:rPr>
          <w:i/>
          <w:color w:val="auto"/>
          <w:vertAlign w:val="subscript"/>
        </w:rPr>
        <w:t>0</w:t>
      </w:r>
      <w:r w:rsidRPr="001F4EB6">
        <w:rPr>
          <w:i/>
          <w:color w:val="auto"/>
        </w:rPr>
        <w:t xml:space="preserve"> =</w:t>
      </w:r>
      <w:r w:rsidRPr="001F4EB6">
        <w:rPr>
          <w:color w:val="auto"/>
        </w:rPr>
        <w:t xml:space="preserve"> 1985.68; </w:t>
      </w:r>
      <w:r w:rsidRPr="001F4EB6">
        <w:rPr>
          <w:i/>
          <w:color w:val="auto"/>
        </w:rPr>
        <w:t>T</w:t>
      </w:r>
      <w:r w:rsidRPr="001F4EB6">
        <w:rPr>
          <w:i/>
          <w:color w:val="auto"/>
          <w:vertAlign w:val="subscript"/>
        </w:rPr>
        <w:t>0</w:t>
      </w:r>
      <w:r w:rsidRPr="001F4EB6">
        <w:rPr>
          <w:i/>
          <w:color w:val="auto"/>
        </w:rPr>
        <w:t xml:space="preserve"> =</w:t>
      </w:r>
      <w:r w:rsidRPr="001F4EB6">
        <w:rPr>
          <w:color w:val="auto"/>
        </w:rPr>
        <w:t xml:space="preserve"> 541.43; </w:t>
      </w:r>
      <w:r w:rsidRPr="001F4EB6">
        <w:rPr>
          <w:i/>
          <w:color w:val="auto"/>
        </w:rPr>
        <w:t>S</w:t>
      </w:r>
      <w:r w:rsidRPr="001F4EB6">
        <w:rPr>
          <w:i/>
          <w:color w:val="auto"/>
          <w:vertAlign w:val="subscript"/>
        </w:rPr>
        <w:t>1</w:t>
      </w:r>
      <w:r w:rsidRPr="001F4EB6">
        <w:rPr>
          <w:color w:val="auto"/>
        </w:rPr>
        <w:t xml:space="preserve"> = 0.94; </w:t>
      </w:r>
      <w:r w:rsidRPr="001F4EB6">
        <w:rPr>
          <w:i/>
          <w:color w:val="auto"/>
        </w:rPr>
        <w:t>S</w:t>
      </w:r>
      <w:r w:rsidRPr="001F4EB6">
        <w:rPr>
          <w:i/>
          <w:color w:val="auto"/>
          <w:vertAlign w:val="subscript"/>
        </w:rPr>
        <w:t>2</w:t>
      </w:r>
      <w:r w:rsidRPr="001F4EB6">
        <w:rPr>
          <w:color w:val="auto"/>
        </w:rPr>
        <w:t xml:space="preserve"> = 0.45;</w:t>
      </w:r>
      <w:r w:rsidRPr="001F4EB6">
        <w:rPr>
          <w:i/>
          <w:color w:val="auto"/>
        </w:rPr>
        <w:t xml:space="preserve"> S</w:t>
      </w:r>
      <w:r w:rsidRPr="001F4EB6">
        <w:rPr>
          <w:i/>
          <w:color w:val="auto"/>
          <w:vertAlign w:val="subscript"/>
        </w:rPr>
        <w:t>3</w:t>
      </w:r>
      <w:r w:rsidRPr="001F4EB6">
        <w:rPr>
          <w:color w:val="auto"/>
        </w:rPr>
        <w:t xml:space="preserve"> = 1.17;</w:t>
      </w:r>
      <w:r w:rsidRPr="001F4EB6">
        <w:rPr>
          <w:i/>
          <w:color w:val="auto"/>
        </w:rPr>
        <w:t xml:space="preserve"> S</w:t>
      </w:r>
      <w:r w:rsidRPr="001F4EB6">
        <w:rPr>
          <w:i/>
          <w:color w:val="auto"/>
          <w:vertAlign w:val="subscript"/>
        </w:rPr>
        <w:t>4</w:t>
      </w:r>
      <w:r w:rsidRPr="001F4EB6">
        <w:rPr>
          <w:color w:val="auto"/>
        </w:rPr>
        <w:t xml:space="preserve"> = 1.46.</w:t>
      </w:r>
    </w:p>
    <w:p w14:paraId="03AB73C7" w14:textId="77777777" w:rsidR="00E40045" w:rsidRPr="001F4EB6" w:rsidRDefault="00E40045" w:rsidP="00E40045">
      <w:pPr>
        <w:pStyle w:val="BodyText"/>
        <w:rPr>
          <w:color w:val="auto"/>
        </w:rPr>
      </w:pPr>
    </w:p>
    <w:p w14:paraId="0B1E5BE8" w14:textId="77777777" w:rsidR="00E40045" w:rsidRPr="001F4EB6" w:rsidRDefault="00E40045" w:rsidP="00634C52">
      <w:r w:rsidRPr="001F4EB6">
        <w:t xml:space="preserve">Using these estimates, Winter’s model provides the following forecasts and errors (see worksheet </w:t>
      </w:r>
      <w:r w:rsidRPr="001F4EB6">
        <w:rPr>
          <w:i/>
        </w:rPr>
        <w:t>Values</w:t>
      </w:r>
      <w:r w:rsidRPr="001F4EB6">
        <w:t>):</w:t>
      </w:r>
    </w:p>
    <w:p w14:paraId="26B88DE1" w14:textId="77777777" w:rsidR="00E40045" w:rsidRPr="001F4EB6" w:rsidRDefault="00E40045" w:rsidP="00E40045">
      <w:pPr>
        <w:pStyle w:val="BodyText"/>
        <w:rPr>
          <w:color w:val="auto"/>
        </w:rPr>
      </w:pPr>
    </w:p>
    <w:p w14:paraId="1127A5DE" w14:textId="5A8AAC0B" w:rsidR="00E40045" w:rsidRPr="001F4EB6" w:rsidRDefault="00EF4541" w:rsidP="00E40045">
      <w:pPr>
        <w:pStyle w:val="BodyText"/>
        <w:rPr>
          <w:color w:val="auto"/>
        </w:rPr>
      </w:pPr>
      <w:r w:rsidRPr="00EF4541">
        <w:rPr>
          <w:noProof/>
          <w:lang w:eastAsia="en-US"/>
        </w:rPr>
        <w:drawing>
          <wp:inline distT="0" distB="0" distL="0" distR="0" wp14:anchorId="7B404D64" wp14:editId="45164D3B">
            <wp:extent cx="5486400" cy="228790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486400" cy="2287905"/>
                    </a:xfrm>
                    <a:prstGeom prst="rect">
                      <a:avLst/>
                    </a:prstGeom>
                  </pic:spPr>
                </pic:pic>
              </a:graphicData>
            </a:graphic>
          </wp:inline>
        </w:drawing>
      </w:r>
    </w:p>
    <w:p w14:paraId="3912E0CF" w14:textId="77777777" w:rsidR="00E40045" w:rsidRPr="001F4EB6" w:rsidRDefault="00E40045" w:rsidP="00E40045">
      <w:pPr>
        <w:pStyle w:val="BodyText"/>
        <w:rPr>
          <w:color w:val="auto"/>
        </w:rPr>
      </w:pPr>
    </w:p>
    <w:p w14:paraId="244730A7" w14:textId="77777777" w:rsidR="00E40045" w:rsidRPr="001F4EB6" w:rsidRDefault="00E40045" w:rsidP="00E40045">
      <w:pPr>
        <w:pStyle w:val="BodyText"/>
        <w:rPr>
          <w:color w:val="auto"/>
        </w:rPr>
      </w:pPr>
      <w:r w:rsidRPr="001F4EB6">
        <w:rPr>
          <w:color w:val="auto"/>
        </w:rPr>
        <w:t xml:space="preserve">The values of α, β, </w:t>
      </w:r>
      <w:r w:rsidR="008605B1">
        <w:rPr>
          <w:color w:val="auto"/>
        </w:rPr>
        <w:t xml:space="preserve">and </w:t>
      </w:r>
      <w:r w:rsidRPr="001F4EB6">
        <w:rPr>
          <w:color w:val="auto"/>
        </w:rPr>
        <w:t xml:space="preserve">γ that minimize MAD and the associated forecasts are obtained on worksheet </w:t>
      </w:r>
      <w:r w:rsidRPr="001F4EB6">
        <w:rPr>
          <w:i/>
          <w:color w:val="auto"/>
        </w:rPr>
        <w:t>Values (optimal MAD)</w:t>
      </w:r>
      <w:r w:rsidRPr="001F4EB6">
        <w:rPr>
          <w:color w:val="auto"/>
        </w:rPr>
        <w:t>. The optimization limits all smoothing constants to be between 0 and 0.9.</w:t>
      </w:r>
    </w:p>
    <w:p w14:paraId="5A224D22" w14:textId="77777777" w:rsidR="00E40045" w:rsidRPr="001F4EB6" w:rsidRDefault="00E40045" w:rsidP="00E40045">
      <w:pPr>
        <w:pStyle w:val="BodyText"/>
        <w:rPr>
          <w:color w:val="auto"/>
        </w:rPr>
      </w:pPr>
    </w:p>
    <w:p w14:paraId="70F602B7" w14:textId="36FB01F2" w:rsidR="00E40045" w:rsidRPr="001F4EB6" w:rsidRDefault="00EF4541">
      <w:r w:rsidRPr="00EF4541">
        <w:rPr>
          <w:noProof/>
          <w:lang w:eastAsia="en-US"/>
        </w:rPr>
        <w:drawing>
          <wp:inline distT="0" distB="0" distL="0" distR="0" wp14:anchorId="212AC9E4" wp14:editId="7B5888F2">
            <wp:extent cx="5486400" cy="230314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486400" cy="2303145"/>
                    </a:xfrm>
                    <a:prstGeom prst="rect">
                      <a:avLst/>
                    </a:prstGeom>
                  </pic:spPr>
                </pic:pic>
              </a:graphicData>
            </a:graphic>
          </wp:inline>
        </w:drawing>
      </w:r>
    </w:p>
    <w:p w14:paraId="28D31FDE" w14:textId="77777777" w:rsidR="00E40045" w:rsidRPr="001F4EB6" w:rsidRDefault="00E40045"/>
    <w:p w14:paraId="02A23292" w14:textId="57E12062" w:rsidR="007D2C3C" w:rsidRPr="001F4EB6" w:rsidRDefault="00E40045">
      <w:r w:rsidRPr="001F4EB6">
        <w:t>Observe that optimizing the smoothing constants lowers the M</w:t>
      </w:r>
      <w:r w:rsidR="00610FF7" w:rsidRPr="001F4EB6">
        <w:t>AD</w:t>
      </w:r>
      <w:r w:rsidRPr="001F4EB6">
        <w:t xml:space="preserve"> to </w:t>
      </w:r>
      <w:r w:rsidR="00610FF7" w:rsidRPr="001F4EB6">
        <w:t>515</w:t>
      </w:r>
      <w:r w:rsidRPr="001F4EB6">
        <w:t xml:space="preserve"> (co</w:t>
      </w:r>
      <w:r w:rsidR="00610FF7" w:rsidRPr="001F4EB6">
        <w:t>mpared to 592</w:t>
      </w:r>
      <w:r w:rsidRPr="001F4EB6">
        <w:t>).</w:t>
      </w:r>
      <w:r w:rsidR="007D2C3C" w:rsidRPr="001F4EB6">
        <w:br w:type="page"/>
      </w:r>
    </w:p>
    <w:p w14:paraId="237ABDFE" w14:textId="77777777" w:rsidR="008C1AF9" w:rsidRPr="001F4EB6" w:rsidRDefault="008C1AF9" w:rsidP="008C1AF9">
      <w:pPr>
        <w:pStyle w:val="BodyText"/>
        <w:rPr>
          <w:color w:val="auto"/>
        </w:rPr>
      </w:pPr>
      <w:r w:rsidRPr="001F4EB6">
        <w:rPr>
          <w:color w:val="auto"/>
        </w:rPr>
        <w:lastRenderedPageBreak/>
        <w:t xml:space="preserve">The values of α, β, </w:t>
      </w:r>
      <w:r w:rsidR="00044ED9">
        <w:rPr>
          <w:color w:val="auto"/>
        </w:rPr>
        <w:t xml:space="preserve">and </w:t>
      </w:r>
      <w:r w:rsidRPr="001F4EB6">
        <w:rPr>
          <w:color w:val="auto"/>
        </w:rPr>
        <w:t xml:space="preserve">γ that minimize MSE and the associated forecasts are obtained on worksheet </w:t>
      </w:r>
      <w:r w:rsidRPr="001F4EB6">
        <w:rPr>
          <w:i/>
          <w:color w:val="auto"/>
        </w:rPr>
        <w:t>Values (optimal MSE)</w:t>
      </w:r>
      <w:r w:rsidRPr="001F4EB6">
        <w:rPr>
          <w:color w:val="auto"/>
        </w:rPr>
        <w:t>. The optimization limits all smoothing constants to be between 0 and 0.9.</w:t>
      </w:r>
    </w:p>
    <w:p w14:paraId="36D78089" w14:textId="77777777" w:rsidR="008C1AF9" w:rsidRPr="001F4EB6" w:rsidRDefault="008C1AF9" w:rsidP="008C1AF9">
      <w:pPr>
        <w:pStyle w:val="BodyText"/>
        <w:rPr>
          <w:color w:val="auto"/>
        </w:rPr>
      </w:pPr>
    </w:p>
    <w:p w14:paraId="046AC849" w14:textId="72A42CBC" w:rsidR="008C1AF9" w:rsidRPr="001F4EB6" w:rsidRDefault="00EF4541" w:rsidP="00502D74">
      <w:pPr>
        <w:pStyle w:val="BodyText"/>
        <w:rPr>
          <w:color w:val="auto"/>
        </w:rPr>
      </w:pPr>
      <w:r w:rsidRPr="00EF4541">
        <w:rPr>
          <w:noProof/>
          <w:lang w:eastAsia="en-US"/>
        </w:rPr>
        <w:drawing>
          <wp:inline distT="0" distB="0" distL="0" distR="0" wp14:anchorId="46E6ECC3" wp14:editId="45E80860">
            <wp:extent cx="5486400" cy="2315845"/>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486400" cy="2315845"/>
                    </a:xfrm>
                    <a:prstGeom prst="rect">
                      <a:avLst/>
                    </a:prstGeom>
                  </pic:spPr>
                </pic:pic>
              </a:graphicData>
            </a:graphic>
          </wp:inline>
        </w:drawing>
      </w:r>
    </w:p>
    <w:p w14:paraId="0F925B0F" w14:textId="77777777" w:rsidR="00E40045" w:rsidRPr="001F4EB6" w:rsidRDefault="00E40045" w:rsidP="00502D74">
      <w:pPr>
        <w:pStyle w:val="BodyText"/>
        <w:rPr>
          <w:color w:val="auto"/>
        </w:rPr>
      </w:pPr>
    </w:p>
    <w:p w14:paraId="7CBC0D50" w14:textId="27F7330F" w:rsidR="00E40045" w:rsidRPr="001F4EB6" w:rsidRDefault="00E40045" w:rsidP="00502D74">
      <w:pPr>
        <w:pStyle w:val="BodyText"/>
        <w:rPr>
          <w:color w:val="auto"/>
        </w:rPr>
      </w:pPr>
      <w:r w:rsidRPr="001F4EB6">
        <w:rPr>
          <w:color w:val="auto"/>
        </w:rPr>
        <w:t>Observe that optimizing the smoothing constants lowers the MSE to 500</w:t>
      </w:r>
      <w:r w:rsidR="00EF4541">
        <w:rPr>
          <w:color w:val="auto"/>
        </w:rPr>
        <w:t>,</w:t>
      </w:r>
      <w:r w:rsidRPr="001F4EB6">
        <w:rPr>
          <w:color w:val="auto"/>
        </w:rPr>
        <w:t>481 (compared to 706</w:t>
      </w:r>
      <w:r w:rsidR="00EF4541">
        <w:rPr>
          <w:color w:val="auto"/>
        </w:rPr>
        <w:t>,</w:t>
      </w:r>
      <w:r w:rsidRPr="001F4EB6">
        <w:rPr>
          <w:color w:val="auto"/>
        </w:rPr>
        <w:t>550).</w:t>
      </w:r>
    </w:p>
    <w:p w14:paraId="55579F1C" w14:textId="77777777" w:rsidR="004E1511" w:rsidRPr="001F4EB6" w:rsidRDefault="004E1511" w:rsidP="00502D74">
      <w:pPr>
        <w:pStyle w:val="BodyText"/>
        <w:rPr>
          <w:color w:val="auto"/>
        </w:rPr>
      </w:pPr>
    </w:p>
    <w:sectPr w:rsidR="004E1511" w:rsidRPr="001F4EB6" w:rsidSect="007D4D49">
      <w:footerReference w:type="default" r:id="rId29"/>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A7890F" w14:textId="77777777" w:rsidR="00991A04" w:rsidRDefault="00991A04" w:rsidP="003E0CFB">
      <w:r>
        <w:separator/>
      </w:r>
    </w:p>
  </w:endnote>
  <w:endnote w:type="continuationSeparator" w:id="0">
    <w:p w14:paraId="7AF6832C" w14:textId="77777777" w:rsidR="00991A04" w:rsidRDefault="00991A04" w:rsidP="003E0C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0F733C" w14:textId="5618DD6A" w:rsidR="003E0CFB" w:rsidRDefault="00064F01">
    <w:pPr>
      <w:pStyle w:val="Footer"/>
    </w:pPr>
    <w:r>
      <w:t>Copyright © 2019 Pearson Education, Inc.</w:t>
    </w:r>
    <w:r w:rsidR="003E0CFB">
      <w:tab/>
    </w:r>
    <w:r w:rsidR="003E0CFB">
      <w:tab/>
    </w:r>
    <w:r>
      <w:rPr>
        <w:noProof/>
        <w:lang w:eastAsia="en-US"/>
      </w:rPr>
      <w:drawing>
        <wp:inline distT="0" distB="0" distL="0" distR="0" wp14:anchorId="12F3080C" wp14:editId="362565D6">
          <wp:extent cx="648532" cy="457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1111843_High Re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48532" cy="45720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7838C67" w14:textId="77777777" w:rsidR="00991A04" w:rsidRDefault="00991A04" w:rsidP="003E0CFB">
      <w:r>
        <w:separator/>
      </w:r>
    </w:p>
  </w:footnote>
  <w:footnote w:type="continuationSeparator" w:id="0">
    <w:p w14:paraId="4C79CD72" w14:textId="77777777" w:rsidR="00991A04" w:rsidRDefault="00991A04" w:rsidP="003E0CFB">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5944DA0"/>
    <w:multiLevelType w:val="hybridMultilevel"/>
    <w:tmpl w:val="936032D8"/>
    <w:lvl w:ilvl="0" w:tplc="1B527388">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2534531"/>
    <w:multiLevelType w:val="hybridMultilevel"/>
    <w:tmpl w:val="7ADEFE7A"/>
    <w:lvl w:ilvl="0" w:tplc="1B527388">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407FD6"/>
    <w:rsid w:val="00030E57"/>
    <w:rsid w:val="00036770"/>
    <w:rsid w:val="00044ED9"/>
    <w:rsid w:val="00064F01"/>
    <w:rsid w:val="00066B3C"/>
    <w:rsid w:val="00077692"/>
    <w:rsid w:val="00155172"/>
    <w:rsid w:val="0019705E"/>
    <w:rsid w:val="001B4A14"/>
    <w:rsid w:val="001F2C3F"/>
    <w:rsid w:val="001F4EB6"/>
    <w:rsid w:val="00220DAA"/>
    <w:rsid w:val="002532E6"/>
    <w:rsid w:val="0027061C"/>
    <w:rsid w:val="0027382F"/>
    <w:rsid w:val="00311662"/>
    <w:rsid w:val="00320A42"/>
    <w:rsid w:val="00350C3D"/>
    <w:rsid w:val="003575B3"/>
    <w:rsid w:val="00363A75"/>
    <w:rsid w:val="00391248"/>
    <w:rsid w:val="003A0567"/>
    <w:rsid w:val="003A4F22"/>
    <w:rsid w:val="003D4405"/>
    <w:rsid w:val="003E0CFB"/>
    <w:rsid w:val="00407FD6"/>
    <w:rsid w:val="00420605"/>
    <w:rsid w:val="00433833"/>
    <w:rsid w:val="004509FF"/>
    <w:rsid w:val="00495C7C"/>
    <w:rsid w:val="004E1511"/>
    <w:rsid w:val="004F300E"/>
    <w:rsid w:val="00502D74"/>
    <w:rsid w:val="005F4612"/>
    <w:rsid w:val="00610FF7"/>
    <w:rsid w:val="00634C52"/>
    <w:rsid w:val="006C2D4F"/>
    <w:rsid w:val="00730C86"/>
    <w:rsid w:val="0073660D"/>
    <w:rsid w:val="00737723"/>
    <w:rsid w:val="00766DFF"/>
    <w:rsid w:val="00775DCB"/>
    <w:rsid w:val="00794919"/>
    <w:rsid w:val="007D2C3C"/>
    <w:rsid w:val="007D4D49"/>
    <w:rsid w:val="007E3700"/>
    <w:rsid w:val="00816E72"/>
    <w:rsid w:val="008605B1"/>
    <w:rsid w:val="008C1AF9"/>
    <w:rsid w:val="008E3221"/>
    <w:rsid w:val="0091320C"/>
    <w:rsid w:val="00991A04"/>
    <w:rsid w:val="009F3429"/>
    <w:rsid w:val="00A74407"/>
    <w:rsid w:val="00A86C5A"/>
    <w:rsid w:val="00B27273"/>
    <w:rsid w:val="00B37EAD"/>
    <w:rsid w:val="00B8311C"/>
    <w:rsid w:val="00C35E6F"/>
    <w:rsid w:val="00C40441"/>
    <w:rsid w:val="00C615BA"/>
    <w:rsid w:val="00C90A4C"/>
    <w:rsid w:val="00CC2B6D"/>
    <w:rsid w:val="00CE6F45"/>
    <w:rsid w:val="00CF1AEF"/>
    <w:rsid w:val="00D01173"/>
    <w:rsid w:val="00D07340"/>
    <w:rsid w:val="00D5293D"/>
    <w:rsid w:val="00D80FC6"/>
    <w:rsid w:val="00DA2CA7"/>
    <w:rsid w:val="00DC380F"/>
    <w:rsid w:val="00DE5A26"/>
    <w:rsid w:val="00DF44AA"/>
    <w:rsid w:val="00E40045"/>
    <w:rsid w:val="00EF4541"/>
    <w:rsid w:val="00EF4E61"/>
    <w:rsid w:val="00F14C23"/>
    <w:rsid w:val="00F16FD0"/>
    <w:rsid w:val="00F2581D"/>
    <w:rsid w:val="00FE5A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1AD7B3F"/>
  <w15:docId w15:val="{3E58529C-D340-42DA-8BE2-B77DEB86F1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D4D49"/>
    <w:rPr>
      <w:sz w:val="24"/>
      <w:szCs w:val="24"/>
      <w:lang w:eastAsia="zh-CN"/>
    </w:rPr>
  </w:style>
  <w:style w:type="paragraph" w:styleId="Heading2">
    <w:name w:val="heading 2"/>
    <w:basedOn w:val="Normal"/>
    <w:next w:val="Normal"/>
    <w:qFormat/>
    <w:rsid w:val="007D4D49"/>
    <w:pPr>
      <w:keepNext/>
      <w:spacing w:before="240" w:after="120"/>
      <w:jc w:val="both"/>
      <w:outlineLvl w:val="1"/>
    </w:pPr>
    <w:rPr>
      <w:rFonts w:eastAsia="Times New Roman"/>
      <w:b/>
      <w:i/>
      <w:szCs w:val="20"/>
      <w:lang w:eastAsia="en-US"/>
    </w:rPr>
  </w:style>
  <w:style w:type="paragraph" w:styleId="Heading3">
    <w:name w:val="heading 3"/>
    <w:basedOn w:val="Normal"/>
    <w:next w:val="Normal"/>
    <w:qFormat/>
    <w:rsid w:val="007D4D49"/>
    <w:pPr>
      <w:keepNext/>
      <w:spacing w:after="60"/>
      <w:outlineLvl w:val="2"/>
    </w:pPr>
    <w:rPr>
      <w:rFonts w:ascii="Arial" w:hAnsi="Arial"/>
      <w:sz w:val="22"/>
      <w:u w:val="single"/>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
    <w:name w:val="Body"/>
    <w:basedOn w:val="Normal"/>
    <w:rsid w:val="007D4D49"/>
    <w:pPr>
      <w:spacing w:after="120"/>
    </w:pPr>
    <w:rPr>
      <w:rFonts w:ascii="Arial" w:eastAsia="Times New Roman" w:hAnsi="Arial"/>
      <w:sz w:val="22"/>
      <w:szCs w:val="20"/>
      <w:lang w:eastAsia="en-US"/>
    </w:rPr>
  </w:style>
  <w:style w:type="character" w:customStyle="1" w:styleId="Heading3Char">
    <w:name w:val="Heading 3 Char"/>
    <w:basedOn w:val="DefaultParagraphFont"/>
    <w:rsid w:val="007D4D49"/>
    <w:rPr>
      <w:rFonts w:ascii="Arial" w:eastAsia="SimSun" w:hAnsi="Arial"/>
      <w:sz w:val="22"/>
      <w:szCs w:val="24"/>
      <w:u w:val="single"/>
      <w:lang w:val="en-US" w:eastAsia="en-US" w:bidi="ar-SA"/>
    </w:rPr>
  </w:style>
  <w:style w:type="paragraph" w:styleId="DocumentMap">
    <w:name w:val="Document Map"/>
    <w:basedOn w:val="Normal"/>
    <w:semiHidden/>
    <w:rsid w:val="007D4D49"/>
    <w:pPr>
      <w:shd w:val="clear" w:color="auto" w:fill="000080"/>
    </w:pPr>
    <w:rPr>
      <w:rFonts w:ascii="Tahoma" w:hAnsi="Tahoma" w:cs="Tahoma"/>
    </w:rPr>
  </w:style>
  <w:style w:type="paragraph" w:customStyle="1" w:styleId="font5">
    <w:name w:val="font5"/>
    <w:basedOn w:val="Normal"/>
    <w:rsid w:val="007D4D49"/>
    <w:pPr>
      <w:spacing w:before="100" w:beforeAutospacing="1" w:after="100" w:afterAutospacing="1"/>
    </w:pPr>
    <w:rPr>
      <w:rFonts w:ascii="Tahoma" w:eastAsia="Arial Unicode MS" w:hAnsi="Tahoma" w:cs="Tahoma"/>
      <w:color w:val="000000"/>
      <w:sz w:val="16"/>
      <w:szCs w:val="16"/>
      <w:lang w:eastAsia="en-US"/>
    </w:rPr>
  </w:style>
  <w:style w:type="paragraph" w:customStyle="1" w:styleId="font6">
    <w:name w:val="font6"/>
    <w:basedOn w:val="Normal"/>
    <w:rsid w:val="007D4D49"/>
    <w:pPr>
      <w:spacing w:before="100" w:beforeAutospacing="1" w:after="100" w:afterAutospacing="1"/>
    </w:pPr>
    <w:rPr>
      <w:rFonts w:ascii="Tahoma" w:eastAsia="Arial Unicode MS" w:hAnsi="Tahoma" w:cs="Tahoma"/>
      <w:b/>
      <w:bCs/>
      <w:color w:val="000000"/>
      <w:sz w:val="16"/>
      <w:szCs w:val="16"/>
      <w:lang w:eastAsia="en-US"/>
    </w:rPr>
  </w:style>
  <w:style w:type="paragraph" w:customStyle="1" w:styleId="font7">
    <w:name w:val="font7"/>
    <w:basedOn w:val="Normal"/>
    <w:rsid w:val="007D4D49"/>
    <w:pPr>
      <w:spacing w:before="100" w:beforeAutospacing="1" w:after="100" w:afterAutospacing="1"/>
    </w:pPr>
    <w:rPr>
      <w:rFonts w:ascii="Tahoma" w:eastAsia="Arial Unicode MS" w:hAnsi="Tahoma" w:cs="Tahoma"/>
      <w:color w:val="000000"/>
      <w:sz w:val="16"/>
      <w:szCs w:val="16"/>
      <w:lang w:eastAsia="en-US"/>
    </w:rPr>
  </w:style>
  <w:style w:type="paragraph" w:customStyle="1" w:styleId="xl24">
    <w:name w:val="xl24"/>
    <w:basedOn w:val="Normal"/>
    <w:rsid w:val="007D4D49"/>
    <w:pPr>
      <w:spacing w:before="100" w:beforeAutospacing="1" w:after="100" w:afterAutospacing="1"/>
    </w:pPr>
    <w:rPr>
      <w:rFonts w:ascii="Arial" w:eastAsia="Arial Unicode MS" w:hAnsi="Arial" w:cs="Arial"/>
      <w:b/>
      <w:bCs/>
      <w:u w:val="single"/>
      <w:lang w:eastAsia="en-US"/>
    </w:rPr>
  </w:style>
  <w:style w:type="paragraph" w:customStyle="1" w:styleId="xl25">
    <w:name w:val="xl25"/>
    <w:basedOn w:val="Normal"/>
    <w:rsid w:val="007D4D49"/>
    <w:pPr>
      <w:pBdr>
        <w:top w:val="single" w:sz="8" w:space="0" w:color="auto"/>
        <w:bottom w:val="single" w:sz="4" w:space="0" w:color="auto"/>
      </w:pBdr>
      <w:spacing w:before="100" w:beforeAutospacing="1" w:after="100" w:afterAutospacing="1"/>
    </w:pPr>
    <w:rPr>
      <w:rFonts w:ascii="Arial Unicode MS" w:eastAsia="Arial Unicode MS" w:hAnsi="Arial Unicode MS" w:cs="Arial Unicode MS"/>
      <w:i/>
      <w:iCs/>
      <w:lang w:eastAsia="en-US"/>
    </w:rPr>
  </w:style>
  <w:style w:type="paragraph" w:customStyle="1" w:styleId="xl26">
    <w:name w:val="xl26"/>
    <w:basedOn w:val="Normal"/>
    <w:rsid w:val="007D4D49"/>
    <w:pPr>
      <w:pBdr>
        <w:bottom w:val="single" w:sz="8" w:space="0" w:color="auto"/>
      </w:pBdr>
      <w:spacing w:before="100" w:beforeAutospacing="1" w:after="100" w:afterAutospacing="1"/>
    </w:pPr>
    <w:rPr>
      <w:rFonts w:ascii="Arial Unicode MS" w:eastAsia="Arial Unicode MS" w:hAnsi="Arial Unicode MS" w:cs="Arial Unicode MS"/>
      <w:lang w:eastAsia="en-US"/>
    </w:rPr>
  </w:style>
  <w:style w:type="paragraph" w:customStyle="1" w:styleId="xl27">
    <w:name w:val="xl27"/>
    <w:basedOn w:val="Normal"/>
    <w:rsid w:val="007D4D49"/>
    <w:pPr>
      <w:pBdr>
        <w:top w:val="single" w:sz="8" w:space="0" w:color="auto"/>
        <w:bottom w:val="single" w:sz="4" w:space="0" w:color="auto"/>
      </w:pBdr>
      <w:spacing w:before="100" w:beforeAutospacing="1" w:after="100" w:afterAutospacing="1"/>
      <w:jc w:val="center"/>
    </w:pPr>
    <w:rPr>
      <w:rFonts w:ascii="Arial Unicode MS" w:eastAsia="Arial Unicode MS" w:hAnsi="Arial Unicode MS" w:cs="Arial Unicode MS"/>
      <w:i/>
      <w:iCs/>
      <w:lang w:eastAsia="en-US"/>
    </w:rPr>
  </w:style>
  <w:style w:type="paragraph" w:customStyle="1" w:styleId="xl28">
    <w:name w:val="xl28"/>
    <w:basedOn w:val="Normal"/>
    <w:rsid w:val="007D4D49"/>
    <w:pPr>
      <w:pBdr>
        <w:top w:val="single" w:sz="8" w:space="0" w:color="auto"/>
      </w:pBdr>
      <w:spacing w:before="100" w:beforeAutospacing="1" w:after="100" w:afterAutospacing="1"/>
      <w:jc w:val="center"/>
    </w:pPr>
    <w:rPr>
      <w:rFonts w:ascii="Arial Unicode MS" w:eastAsia="Arial Unicode MS" w:hAnsi="Arial Unicode MS" w:cs="Arial Unicode MS"/>
      <w:i/>
      <w:iCs/>
      <w:lang w:eastAsia="en-US"/>
    </w:rPr>
  </w:style>
  <w:style w:type="paragraph" w:customStyle="1" w:styleId="xl29">
    <w:name w:val="xl29"/>
    <w:basedOn w:val="Normal"/>
    <w:rsid w:val="007D4D49"/>
    <w:pPr>
      <w:pBdr>
        <w:top w:val="single" w:sz="8" w:space="0" w:color="auto"/>
        <w:left w:val="single" w:sz="8" w:space="0" w:color="auto"/>
        <w:bottom w:val="single" w:sz="8" w:space="0" w:color="auto"/>
        <w:right w:val="single" w:sz="8" w:space="0" w:color="auto"/>
      </w:pBdr>
      <w:shd w:val="clear" w:color="auto" w:fill="00CCFF"/>
      <w:spacing w:before="100" w:beforeAutospacing="1" w:after="100" w:afterAutospacing="1"/>
    </w:pPr>
    <w:rPr>
      <w:rFonts w:ascii="Arial Unicode MS" w:eastAsia="Arial Unicode MS" w:hAnsi="Arial Unicode MS" w:cs="Arial Unicode MS"/>
      <w:lang w:eastAsia="en-US"/>
    </w:rPr>
  </w:style>
  <w:style w:type="paragraph" w:styleId="BodyText">
    <w:name w:val="Body Text"/>
    <w:basedOn w:val="Normal"/>
    <w:rsid w:val="007D4D49"/>
    <w:rPr>
      <w:color w:val="0000FF"/>
    </w:rPr>
  </w:style>
  <w:style w:type="paragraph" w:styleId="BalloonText">
    <w:name w:val="Balloon Text"/>
    <w:basedOn w:val="Normal"/>
    <w:semiHidden/>
    <w:rsid w:val="007D4D49"/>
    <w:rPr>
      <w:rFonts w:ascii="Tahoma" w:hAnsi="Tahoma" w:cs="Tahoma"/>
      <w:sz w:val="16"/>
      <w:szCs w:val="16"/>
    </w:rPr>
  </w:style>
  <w:style w:type="character" w:styleId="CommentReference">
    <w:name w:val="annotation reference"/>
    <w:basedOn w:val="DefaultParagraphFont"/>
    <w:semiHidden/>
    <w:rsid w:val="007D4D49"/>
    <w:rPr>
      <w:sz w:val="16"/>
      <w:szCs w:val="16"/>
    </w:rPr>
  </w:style>
  <w:style w:type="paragraph" w:styleId="CommentText">
    <w:name w:val="annotation text"/>
    <w:basedOn w:val="Normal"/>
    <w:semiHidden/>
    <w:rsid w:val="007D4D49"/>
    <w:rPr>
      <w:sz w:val="20"/>
      <w:szCs w:val="20"/>
    </w:rPr>
  </w:style>
  <w:style w:type="paragraph" w:styleId="CommentSubject">
    <w:name w:val="annotation subject"/>
    <w:basedOn w:val="CommentText"/>
    <w:next w:val="CommentText"/>
    <w:semiHidden/>
    <w:rsid w:val="007D4D49"/>
    <w:rPr>
      <w:b/>
      <w:bCs/>
    </w:rPr>
  </w:style>
  <w:style w:type="paragraph" w:styleId="Header">
    <w:name w:val="header"/>
    <w:basedOn w:val="Normal"/>
    <w:link w:val="HeaderChar"/>
    <w:uiPriority w:val="99"/>
    <w:unhideWhenUsed/>
    <w:rsid w:val="003E0CFB"/>
    <w:pPr>
      <w:tabs>
        <w:tab w:val="center" w:pos="4680"/>
        <w:tab w:val="right" w:pos="9360"/>
      </w:tabs>
    </w:pPr>
  </w:style>
  <w:style w:type="character" w:customStyle="1" w:styleId="HeaderChar">
    <w:name w:val="Header Char"/>
    <w:basedOn w:val="DefaultParagraphFont"/>
    <w:link w:val="Header"/>
    <w:uiPriority w:val="99"/>
    <w:rsid w:val="003E0CFB"/>
    <w:rPr>
      <w:sz w:val="24"/>
      <w:szCs w:val="24"/>
      <w:lang w:eastAsia="zh-CN"/>
    </w:rPr>
  </w:style>
  <w:style w:type="paragraph" w:styleId="Footer">
    <w:name w:val="footer"/>
    <w:basedOn w:val="Normal"/>
    <w:link w:val="FooterChar"/>
    <w:uiPriority w:val="99"/>
    <w:unhideWhenUsed/>
    <w:rsid w:val="003E0CFB"/>
    <w:pPr>
      <w:tabs>
        <w:tab w:val="center" w:pos="4680"/>
        <w:tab w:val="right" w:pos="9360"/>
      </w:tabs>
    </w:pPr>
  </w:style>
  <w:style w:type="character" w:customStyle="1" w:styleId="FooterChar">
    <w:name w:val="Footer Char"/>
    <w:basedOn w:val="DefaultParagraphFont"/>
    <w:link w:val="Footer"/>
    <w:uiPriority w:val="99"/>
    <w:rsid w:val="003E0CFB"/>
    <w:rPr>
      <w:sz w:val="24"/>
      <w:szCs w:val="24"/>
      <w:lang w:eastAsia="zh-CN"/>
    </w:rPr>
  </w:style>
  <w:style w:type="paragraph" w:styleId="Revision">
    <w:name w:val="Revision"/>
    <w:hidden/>
    <w:uiPriority w:val="99"/>
    <w:semiHidden/>
    <w:rsid w:val="0091320C"/>
    <w:rPr>
      <w:sz w:val="24"/>
      <w:szCs w:val="24"/>
      <w:lang w:eastAsia="zh-CN"/>
    </w:rPr>
  </w:style>
  <w:style w:type="table" w:styleId="TableGrid">
    <w:name w:val="Table Grid"/>
    <w:basedOn w:val="TableNormal"/>
    <w:uiPriority w:val="59"/>
    <w:rsid w:val="00220D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632819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chart" Target="charts/chart1.xml"/><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image" Target="media/image1.wmf"/><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4.png"/><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oleObject" Target="embeddings/oleObject2.bin"/><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chart" Target="charts/chart2.xml"/><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9.jpe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i="0" u="none" strike="noStrike" baseline="0">
                <a:solidFill>
                  <a:srgbClr val="000000"/>
                </a:solidFill>
                <a:latin typeface="Arial"/>
                <a:ea typeface="Arial"/>
                <a:cs typeface="Arial"/>
              </a:defRPr>
            </a:pPr>
            <a:r>
              <a:rPr lang="en-US"/>
              <a:t>Moving Average</a:t>
            </a:r>
          </a:p>
        </c:rich>
      </c:tx>
      <c:layout>
        <c:manualLayout>
          <c:xMode val="edge"/>
          <c:yMode val="edge"/>
          <c:x val="0"/>
          <c:y val="0"/>
        </c:manualLayout>
      </c:layout>
      <c:overlay val="0"/>
      <c:spPr>
        <a:noFill/>
        <a:ln w="25400">
          <a:noFill/>
        </a:ln>
      </c:spPr>
    </c:title>
    <c:autoTitleDeleted val="0"/>
    <c:plotArea>
      <c:layout>
        <c:manualLayout>
          <c:layoutTarget val="inner"/>
          <c:xMode val="edge"/>
          <c:yMode val="edge"/>
          <c:x val="0.1241217798594848"/>
          <c:y val="0.26576576576576583"/>
          <c:w val="0.87587822014051542"/>
          <c:h val="0.51801801801801817"/>
        </c:manualLayout>
      </c:layout>
      <c:lineChart>
        <c:grouping val="standard"/>
        <c:varyColors val="0"/>
        <c:ser>
          <c:idx val="0"/>
          <c:order val="0"/>
          <c:tx>
            <c:v>Actual Demand</c:v>
          </c:tx>
          <c:spPr>
            <a:ln w="12700">
              <a:solidFill>
                <a:srgbClr val="000080"/>
              </a:solidFill>
              <a:prstDash val="solid"/>
            </a:ln>
          </c:spPr>
          <c:marker>
            <c:symbol val="diamond"/>
            <c:size val="5"/>
            <c:spPr>
              <a:solidFill>
                <a:srgbClr val="000080"/>
              </a:solidFill>
              <a:ln>
                <a:solidFill>
                  <a:srgbClr val="000080"/>
                </a:solidFill>
                <a:prstDash val="solid"/>
              </a:ln>
            </c:spPr>
          </c:marker>
          <c:val>
            <c:numRef>
              <c:f>Solution!$B$15:$B$30</c:f>
              <c:numCache>
                <c:formatCode>General</c:formatCode>
                <c:ptCount val="16"/>
                <c:pt idx="0">
                  <c:v>108</c:v>
                </c:pt>
                <c:pt idx="1">
                  <c:v>116</c:v>
                </c:pt>
                <c:pt idx="2">
                  <c:v>118</c:v>
                </c:pt>
                <c:pt idx="3">
                  <c:v>124</c:v>
                </c:pt>
                <c:pt idx="4">
                  <c:v>96</c:v>
                </c:pt>
                <c:pt idx="5">
                  <c:v>119</c:v>
                </c:pt>
                <c:pt idx="6">
                  <c:v>96</c:v>
                </c:pt>
                <c:pt idx="7">
                  <c:v>102</c:v>
                </c:pt>
                <c:pt idx="8">
                  <c:v>112</c:v>
                </c:pt>
                <c:pt idx="9">
                  <c:v>102</c:v>
                </c:pt>
                <c:pt idx="10">
                  <c:v>92</c:v>
                </c:pt>
                <c:pt idx="11">
                  <c:v>91</c:v>
                </c:pt>
              </c:numCache>
            </c:numRef>
          </c:val>
          <c:smooth val="0"/>
          <c:extLst>
            <c:ext xmlns:c16="http://schemas.microsoft.com/office/drawing/2014/chart" uri="{C3380CC4-5D6E-409C-BE32-E72D297353CC}">
              <c16:uniqueId val="{00000000-E205-4C2F-A88C-F9F09BE2B019}"/>
            </c:ext>
          </c:extLst>
        </c:ser>
        <c:ser>
          <c:idx val="1"/>
          <c:order val="1"/>
          <c:tx>
            <c:v>Forecasted Demand</c:v>
          </c:tx>
          <c:spPr>
            <a:ln w="12700">
              <a:solidFill>
                <a:srgbClr val="FF00FF"/>
              </a:solidFill>
              <a:prstDash val="solid"/>
            </a:ln>
          </c:spPr>
          <c:marker>
            <c:symbol val="square"/>
            <c:size val="5"/>
            <c:spPr>
              <a:solidFill>
                <a:srgbClr val="FF00FF"/>
              </a:solidFill>
              <a:ln>
                <a:solidFill>
                  <a:srgbClr val="FF00FF"/>
                </a:solidFill>
                <a:prstDash val="solid"/>
              </a:ln>
            </c:spPr>
          </c:marker>
          <c:val>
            <c:numRef>
              <c:f>Solution!$D$15:$D$30</c:f>
              <c:numCache>
                <c:formatCode>General</c:formatCode>
                <c:ptCount val="16"/>
                <c:pt idx="4" formatCode="0">
                  <c:v>106.33333333333331</c:v>
                </c:pt>
                <c:pt idx="5" formatCode="0">
                  <c:v>116.5</c:v>
                </c:pt>
                <c:pt idx="6" formatCode="0">
                  <c:v>113.5</c:v>
                </c:pt>
                <c:pt idx="7" formatCode="0">
                  <c:v>114.25</c:v>
                </c:pt>
                <c:pt idx="8" formatCode="0">
                  <c:v>108.75</c:v>
                </c:pt>
                <c:pt idx="9" formatCode="0">
                  <c:v>103.25</c:v>
                </c:pt>
                <c:pt idx="10" formatCode="0">
                  <c:v>107.25</c:v>
                </c:pt>
                <c:pt idx="11" formatCode="0">
                  <c:v>103</c:v>
                </c:pt>
                <c:pt idx="12" formatCode="0">
                  <c:v>102</c:v>
                </c:pt>
                <c:pt idx="13" formatCode="0">
                  <c:v>102</c:v>
                </c:pt>
                <c:pt idx="14" formatCode="0">
                  <c:v>102</c:v>
                </c:pt>
                <c:pt idx="15" formatCode="0">
                  <c:v>102</c:v>
                </c:pt>
              </c:numCache>
            </c:numRef>
          </c:val>
          <c:smooth val="0"/>
          <c:extLst>
            <c:ext xmlns:c16="http://schemas.microsoft.com/office/drawing/2014/chart" uri="{C3380CC4-5D6E-409C-BE32-E72D297353CC}">
              <c16:uniqueId val="{00000001-E205-4C2F-A88C-F9F09BE2B019}"/>
            </c:ext>
          </c:extLst>
        </c:ser>
        <c:dLbls>
          <c:showLegendKey val="0"/>
          <c:showVal val="0"/>
          <c:showCatName val="0"/>
          <c:showSerName val="0"/>
          <c:showPercent val="0"/>
          <c:showBubbleSize val="0"/>
        </c:dLbls>
        <c:marker val="1"/>
        <c:smooth val="0"/>
        <c:axId val="60639104"/>
        <c:axId val="162504704"/>
      </c:lineChart>
      <c:catAx>
        <c:axId val="60639104"/>
        <c:scaling>
          <c:orientation val="minMax"/>
        </c:scaling>
        <c:delete val="0"/>
        <c:axPos val="b"/>
        <c:title>
          <c:tx>
            <c:rich>
              <a:bodyPr/>
              <a:lstStyle/>
              <a:p>
                <a:pPr>
                  <a:defRPr sz="550" b="1" i="0" u="none" strike="noStrike" baseline="0">
                    <a:solidFill>
                      <a:srgbClr val="000000"/>
                    </a:solidFill>
                    <a:latin typeface="Arial"/>
                    <a:ea typeface="Arial"/>
                    <a:cs typeface="Arial"/>
                  </a:defRPr>
                </a:pPr>
                <a:r>
                  <a:rPr lang="en-US"/>
                  <a:t>Periods</a:t>
                </a:r>
              </a:p>
            </c:rich>
          </c:tx>
          <c:layout>
            <c:manualLayout>
              <c:xMode val="edge"/>
              <c:yMode val="edge"/>
              <c:x val="0.50585480093676816"/>
              <c:y val="0.8873873873873873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en-US"/>
          </a:p>
        </c:txPr>
        <c:crossAx val="162504704"/>
        <c:crosses val="autoZero"/>
        <c:auto val="1"/>
        <c:lblAlgn val="ctr"/>
        <c:lblOffset val="100"/>
        <c:tickLblSkip val="1"/>
        <c:tickMarkSkip val="1"/>
        <c:noMultiLvlLbl val="0"/>
      </c:catAx>
      <c:valAx>
        <c:axId val="162504704"/>
        <c:scaling>
          <c:orientation val="minMax"/>
          <c:min val="80"/>
        </c:scaling>
        <c:delete val="0"/>
        <c:axPos val="l"/>
        <c:title>
          <c:tx>
            <c:rich>
              <a:bodyPr/>
              <a:lstStyle/>
              <a:p>
                <a:pPr>
                  <a:defRPr sz="550" b="1" i="0" u="none" strike="noStrike" baseline="0">
                    <a:solidFill>
                      <a:srgbClr val="000000"/>
                    </a:solidFill>
                    <a:latin typeface="Arial"/>
                    <a:ea typeface="Arial"/>
                    <a:cs typeface="Arial"/>
                  </a:defRPr>
                </a:pPr>
                <a:r>
                  <a:rPr lang="en-US"/>
                  <a:t>Unit Demand</a:t>
                </a:r>
              </a:p>
            </c:rich>
          </c:tx>
          <c:layout>
            <c:manualLayout>
              <c:xMode val="edge"/>
              <c:yMode val="edge"/>
              <c:x val="0"/>
              <c:y val="0.38738738738738748"/>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en-US"/>
          </a:p>
        </c:txPr>
        <c:crossAx val="60639104"/>
        <c:crosses val="autoZero"/>
        <c:crossBetween val="between"/>
      </c:valAx>
      <c:spPr>
        <a:noFill/>
        <a:ln w="12700">
          <a:solidFill>
            <a:srgbClr val="808080"/>
          </a:solidFill>
          <a:prstDash val="solid"/>
        </a:ln>
      </c:spPr>
    </c:plotArea>
    <c:legend>
      <c:legendPos val="r"/>
      <c:layout>
        <c:manualLayout>
          <c:xMode val="edge"/>
          <c:yMode val="edge"/>
          <c:x val="0.29508196721311486"/>
          <c:y val="2.2522522522522525E-2"/>
          <c:w val="0.6416861826697895"/>
          <c:h val="0.10360360360360361"/>
        </c:manualLayout>
      </c:layout>
      <c:overlay val="0"/>
      <c:spPr>
        <a:solidFill>
          <a:srgbClr val="FFFFFF"/>
        </a:solidFill>
        <a:ln w="3175">
          <a:solidFill>
            <a:srgbClr val="000000"/>
          </a:solidFill>
          <a:prstDash val="solid"/>
        </a:ln>
      </c:spPr>
      <c:txPr>
        <a:bodyPr/>
        <a:lstStyle/>
        <a:p>
          <a:pPr>
            <a:defRPr sz="85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3175">
      <a:solidFill>
        <a:srgbClr val="000000"/>
      </a:solidFill>
      <a:prstDash val="solid"/>
    </a:ln>
  </c:spPr>
  <c:txPr>
    <a:bodyPr/>
    <a:lstStyle/>
    <a:p>
      <a:pPr>
        <a:defRPr sz="925" b="0" i="0" u="none" strike="noStrike" baseline="0">
          <a:solidFill>
            <a:srgbClr val="000000"/>
          </a:solidFill>
          <a:latin typeface="Arial"/>
          <a:ea typeface="Arial"/>
          <a:cs typeface="Arial"/>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25" b="1" i="0" u="none" strike="noStrike" baseline="0">
                <a:solidFill>
                  <a:srgbClr val="000000"/>
                </a:solidFill>
                <a:latin typeface="Arial"/>
                <a:ea typeface="Arial"/>
                <a:cs typeface="Arial"/>
              </a:defRPr>
            </a:pPr>
            <a:r>
              <a:rPr lang="en-US"/>
              <a:t>EXPONENTIAL SMOOTHING</a:t>
            </a:r>
          </a:p>
        </c:rich>
      </c:tx>
      <c:layout>
        <c:manualLayout>
          <c:xMode val="edge"/>
          <c:yMode val="edge"/>
          <c:x val="0.25526932084309129"/>
          <c:y val="1.872659176029963E-2"/>
        </c:manualLayout>
      </c:layout>
      <c:overlay val="0"/>
      <c:spPr>
        <a:noFill/>
        <a:ln w="25399">
          <a:noFill/>
        </a:ln>
      </c:spPr>
    </c:title>
    <c:autoTitleDeleted val="0"/>
    <c:plotArea>
      <c:layout>
        <c:manualLayout>
          <c:layoutTarget val="inner"/>
          <c:xMode val="edge"/>
          <c:yMode val="edge"/>
          <c:x val="0.16627634660421545"/>
          <c:y val="0.23220973782771542"/>
          <c:w val="0.81030444964871207"/>
          <c:h val="0.53183520599250933"/>
        </c:manualLayout>
      </c:layout>
      <c:lineChart>
        <c:grouping val="standard"/>
        <c:varyColors val="0"/>
        <c:ser>
          <c:idx val="0"/>
          <c:order val="0"/>
          <c:tx>
            <c:v>Actual Demand</c:v>
          </c:tx>
          <c:spPr>
            <a:ln w="12700">
              <a:solidFill>
                <a:srgbClr val="000080"/>
              </a:solidFill>
              <a:prstDash val="solid"/>
            </a:ln>
          </c:spPr>
          <c:marker>
            <c:symbol val="diamond"/>
            <c:size val="4"/>
            <c:spPr>
              <a:solidFill>
                <a:srgbClr val="000080"/>
              </a:solidFill>
              <a:ln>
                <a:solidFill>
                  <a:srgbClr val="000080"/>
                </a:solidFill>
                <a:prstDash val="solid"/>
              </a:ln>
            </c:spPr>
          </c:marker>
          <c:val>
            <c:numRef>
              <c:f>Solution!$B$42:$B$57</c:f>
              <c:numCache>
                <c:formatCode>General</c:formatCode>
                <c:ptCount val="16"/>
                <c:pt idx="0">
                  <c:v>108</c:v>
                </c:pt>
                <c:pt idx="1">
                  <c:v>116</c:v>
                </c:pt>
                <c:pt idx="2">
                  <c:v>118</c:v>
                </c:pt>
                <c:pt idx="3">
                  <c:v>124</c:v>
                </c:pt>
                <c:pt idx="4">
                  <c:v>96</c:v>
                </c:pt>
                <c:pt idx="5">
                  <c:v>119</c:v>
                </c:pt>
                <c:pt idx="6">
                  <c:v>96</c:v>
                </c:pt>
                <c:pt idx="7">
                  <c:v>102</c:v>
                </c:pt>
                <c:pt idx="8">
                  <c:v>112</c:v>
                </c:pt>
                <c:pt idx="9">
                  <c:v>102</c:v>
                </c:pt>
                <c:pt idx="10">
                  <c:v>92</c:v>
                </c:pt>
                <c:pt idx="11">
                  <c:v>91</c:v>
                </c:pt>
              </c:numCache>
            </c:numRef>
          </c:val>
          <c:smooth val="0"/>
          <c:extLst>
            <c:ext xmlns:c16="http://schemas.microsoft.com/office/drawing/2014/chart" uri="{C3380CC4-5D6E-409C-BE32-E72D297353CC}">
              <c16:uniqueId val="{00000000-668C-4A27-8089-2FF3E25EB3F5}"/>
            </c:ext>
          </c:extLst>
        </c:ser>
        <c:ser>
          <c:idx val="1"/>
          <c:order val="1"/>
          <c:tx>
            <c:v>Forecasted Demand</c:v>
          </c:tx>
          <c:spPr>
            <a:ln w="12700">
              <a:solidFill>
                <a:srgbClr val="FF00FF"/>
              </a:solidFill>
              <a:prstDash val="solid"/>
            </a:ln>
          </c:spPr>
          <c:marker>
            <c:symbol val="square"/>
            <c:size val="4"/>
            <c:spPr>
              <a:solidFill>
                <a:srgbClr val="FF00FF"/>
              </a:solidFill>
              <a:ln>
                <a:solidFill>
                  <a:srgbClr val="FF00FF"/>
                </a:solidFill>
                <a:prstDash val="solid"/>
              </a:ln>
            </c:spPr>
          </c:marker>
          <c:val>
            <c:numRef>
              <c:f>Solution!$D$42:$D$57</c:f>
              <c:numCache>
                <c:formatCode>0</c:formatCode>
                <c:ptCount val="16"/>
                <c:pt idx="0">
                  <c:v>106</c:v>
                </c:pt>
                <c:pt idx="1">
                  <c:v>106.2</c:v>
                </c:pt>
                <c:pt idx="2">
                  <c:v>107.17999999999999</c:v>
                </c:pt>
                <c:pt idx="3">
                  <c:v>108.262</c:v>
                </c:pt>
                <c:pt idx="4">
                  <c:v>109.83580000000001</c:v>
                </c:pt>
                <c:pt idx="5">
                  <c:v>108.45222000000003</c:v>
                </c:pt>
                <c:pt idx="6">
                  <c:v>109.50699800000001</c:v>
                </c:pt>
                <c:pt idx="7">
                  <c:v>108.15629820000004</c:v>
                </c:pt>
                <c:pt idx="8">
                  <c:v>107.54066838000006</c:v>
                </c:pt>
                <c:pt idx="9">
                  <c:v>107.98660154200006</c:v>
                </c:pt>
                <c:pt idx="10">
                  <c:v>107.38794138780004</c:v>
                </c:pt>
                <c:pt idx="11">
                  <c:v>105.84914724902005</c:v>
                </c:pt>
                <c:pt idx="12">
                  <c:v>104.36423252411802</c:v>
                </c:pt>
                <c:pt idx="13">
                  <c:v>104.36423252411802</c:v>
                </c:pt>
                <c:pt idx="14">
                  <c:v>104.36423252411802</c:v>
                </c:pt>
                <c:pt idx="15">
                  <c:v>104.36423252411802</c:v>
                </c:pt>
              </c:numCache>
            </c:numRef>
          </c:val>
          <c:smooth val="0"/>
          <c:extLst>
            <c:ext xmlns:c16="http://schemas.microsoft.com/office/drawing/2014/chart" uri="{C3380CC4-5D6E-409C-BE32-E72D297353CC}">
              <c16:uniqueId val="{00000001-668C-4A27-8089-2FF3E25EB3F5}"/>
            </c:ext>
          </c:extLst>
        </c:ser>
        <c:dLbls>
          <c:showLegendKey val="0"/>
          <c:showVal val="0"/>
          <c:showCatName val="0"/>
          <c:showSerName val="0"/>
          <c:showPercent val="0"/>
          <c:showBubbleSize val="0"/>
        </c:dLbls>
        <c:marker val="1"/>
        <c:smooth val="0"/>
        <c:axId val="25854720"/>
        <c:axId val="25857024"/>
      </c:lineChart>
      <c:catAx>
        <c:axId val="25854720"/>
        <c:scaling>
          <c:orientation val="minMax"/>
        </c:scaling>
        <c:delete val="0"/>
        <c:axPos val="b"/>
        <c:title>
          <c:tx>
            <c:rich>
              <a:bodyPr/>
              <a:lstStyle/>
              <a:p>
                <a:pPr>
                  <a:defRPr sz="975" b="1" i="0" u="none" strike="noStrike" baseline="0">
                    <a:solidFill>
                      <a:srgbClr val="000000"/>
                    </a:solidFill>
                    <a:latin typeface="Arial"/>
                    <a:ea typeface="Arial"/>
                    <a:cs typeface="Arial"/>
                  </a:defRPr>
                </a:pPr>
                <a:r>
                  <a:rPr lang="en-US"/>
                  <a:t>Periods</a:t>
                </a:r>
              </a:p>
            </c:rich>
          </c:tx>
          <c:layout>
            <c:manualLayout>
              <c:xMode val="edge"/>
              <c:yMode val="edge"/>
              <c:x val="0.50819672131147542"/>
              <c:y val="0.88014981273408266"/>
            </c:manualLayout>
          </c:layout>
          <c:overlay val="0"/>
          <c:spPr>
            <a:noFill/>
            <a:ln w="25399">
              <a:noFill/>
            </a:ln>
          </c:spPr>
        </c:title>
        <c:numFmt formatCode="General" sourceLinked="1"/>
        <c:majorTickMark val="out"/>
        <c:minorTickMark val="none"/>
        <c:tickLblPos val="nextTo"/>
        <c:spPr>
          <a:ln w="3175">
            <a:solidFill>
              <a:srgbClr val="000000"/>
            </a:solidFill>
            <a:prstDash val="solid"/>
          </a:ln>
        </c:spPr>
        <c:txPr>
          <a:bodyPr rot="0" vert="horz"/>
          <a:lstStyle/>
          <a:p>
            <a:pPr>
              <a:defRPr sz="1025" b="0" i="0" u="none" strike="noStrike" baseline="0">
                <a:solidFill>
                  <a:srgbClr val="000000"/>
                </a:solidFill>
                <a:latin typeface="Arial"/>
                <a:ea typeface="Arial"/>
                <a:cs typeface="Arial"/>
              </a:defRPr>
            </a:pPr>
            <a:endParaRPr lang="en-US"/>
          </a:p>
        </c:txPr>
        <c:crossAx val="25857024"/>
        <c:crosses val="autoZero"/>
        <c:auto val="1"/>
        <c:lblAlgn val="ctr"/>
        <c:lblOffset val="100"/>
        <c:tickLblSkip val="1"/>
        <c:tickMarkSkip val="1"/>
        <c:noMultiLvlLbl val="0"/>
      </c:catAx>
      <c:valAx>
        <c:axId val="25857024"/>
        <c:scaling>
          <c:orientation val="minMax"/>
          <c:min val="80"/>
        </c:scaling>
        <c:delete val="0"/>
        <c:axPos val="l"/>
        <c:title>
          <c:tx>
            <c:rich>
              <a:bodyPr/>
              <a:lstStyle/>
              <a:p>
                <a:pPr>
                  <a:defRPr sz="975" b="1" i="0" u="none" strike="noStrike" baseline="0">
                    <a:solidFill>
                      <a:srgbClr val="000000"/>
                    </a:solidFill>
                    <a:latin typeface="Arial"/>
                    <a:ea typeface="Arial"/>
                    <a:cs typeface="Arial"/>
                  </a:defRPr>
                </a:pPr>
                <a:r>
                  <a:rPr lang="en-US"/>
                  <a:t>Unit Demand</a:t>
                </a:r>
              </a:p>
            </c:rich>
          </c:tx>
          <c:layout>
            <c:manualLayout>
              <c:xMode val="edge"/>
              <c:yMode val="edge"/>
              <c:x val="2.5761124121779864E-2"/>
              <c:y val="0.33333333333333331"/>
            </c:manualLayout>
          </c:layout>
          <c:overlay val="0"/>
          <c:spPr>
            <a:noFill/>
            <a:ln w="25399">
              <a:noFill/>
            </a:ln>
          </c:spPr>
        </c:title>
        <c:numFmt formatCode="General" sourceLinked="1"/>
        <c:majorTickMark val="out"/>
        <c:minorTickMark val="none"/>
        <c:tickLblPos val="nextTo"/>
        <c:spPr>
          <a:ln w="3175">
            <a:solidFill>
              <a:srgbClr val="000000"/>
            </a:solidFill>
            <a:prstDash val="solid"/>
          </a:ln>
        </c:spPr>
        <c:txPr>
          <a:bodyPr rot="0" vert="horz"/>
          <a:lstStyle/>
          <a:p>
            <a:pPr>
              <a:defRPr sz="1025" b="0" i="0" u="none" strike="noStrike" baseline="0">
                <a:solidFill>
                  <a:srgbClr val="000000"/>
                </a:solidFill>
                <a:latin typeface="Arial"/>
                <a:ea typeface="Arial"/>
                <a:cs typeface="Arial"/>
              </a:defRPr>
            </a:pPr>
            <a:endParaRPr lang="en-US"/>
          </a:p>
        </c:txPr>
        <c:crossAx val="25854720"/>
        <c:crosses val="autoZero"/>
        <c:crossBetween val="between"/>
      </c:valAx>
      <c:spPr>
        <a:noFill/>
        <a:ln w="12700">
          <a:solidFill>
            <a:srgbClr val="808080"/>
          </a:solidFill>
          <a:prstDash val="solid"/>
        </a:ln>
      </c:spPr>
    </c:plotArea>
    <c:legend>
      <c:legendPos val="r"/>
      <c:layout>
        <c:manualLayout>
          <c:xMode val="edge"/>
          <c:yMode val="edge"/>
          <c:x val="0.12880562060889927"/>
          <c:y val="0.11235955056179774"/>
          <c:w val="0.8266978922716629"/>
          <c:h val="9.3632958801498162E-2"/>
        </c:manualLayout>
      </c:layout>
      <c:overlay val="0"/>
      <c:spPr>
        <a:solidFill>
          <a:srgbClr val="FFFFFF"/>
        </a:solidFill>
        <a:ln w="3175">
          <a:solidFill>
            <a:srgbClr val="000000"/>
          </a:solidFill>
          <a:prstDash val="solid"/>
        </a:ln>
      </c:spPr>
      <c:txPr>
        <a:bodyPr/>
        <a:lstStyle/>
        <a:p>
          <a:pPr>
            <a:defRPr sz="965"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3175">
      <a:solidFill>
        <a:srgbClr val="000000"/>
      </a:solidFill>
      <a:prstDash val="solid"/>
    </a:ln>
  </c:spPr>
  <c:txPr>
    <a:bodyPr/>
    <a:lstStyle/>
    <a:p>
      <a:pPr>
        <a:defRPr sz="1025" b="0" i="0" u="none" strike="noStrike" baseline="0">
          <a:solidFill>
            <a:srgbClr val="000000"/>
          </a:solidFill>
          <a:latin typeface="Arial"/>
          <a:ea typeface="Arial"/>
          <a:cs typeface="Arial"/>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309</TotalTime>
  <Pages>13</Pages>
  <Words>1398</Words>
  <Characters>7974</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Chapter 7 Exercise answers</vt:lpstr>
    </vt:vector>
  </TitlesOfParts>
  <Company>IEMS</Company>
  <LinksUpToDate>false</LinksUpToDate>
  <CharactersWithSpaces>9354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7 Exercise answers</dc:title>
  <dc:subject>Supply Chain Management - 6th edition</dc:subject>
  <dc:creator>Jay Mabe</dc:creator>
  <cp:lastModifiedBy>Mirano, Ronel</cp:lastModifiedBy>
  <cp:revision>49</cp:revision>
  <cp:lastPrinted>2004-12-13T14:31:00Z</cp:lastPrinted>
  <dcterms:created xsi:type="dcterms:W3CDTF">2014-07-09T20:15:00Z</dcterms:created>
  <dcterms:modified xsi:type="dcterms:W3CDTF">2017-10-11T08:18:00Z</dcterms:modified>
</cp:coreProperties>
</file>